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ZG_VERWALTUNGSGERICHT S 2023 53 vom 24. März 2025</w:t>
      </w:r>
    </w:p>
    <w:p>
      <w:r>
        <w:t>ZG Verwaltungsgericht, 2025-03-24, DE</w:t>
      </w:r>
    </w:p>
    <w:p>
      <w:r>
        <w:rPr>
          <w:b/>
        </w:rPr>
        <w:t xml:space="preserve">Quelle: </w:t>
      </w:r>
      <w:r>
        <w:t>https://mcp.opencaselaw.ch/entscheid/zg_verwaltungsgericht_S_2023_53</w:t>
      </w:r>
    </w:p>
    <w:p>
      <w:r>
        <w:t>FR: ZG_VERWALTUNGSGERICHT S 2023 53 du 24 mars 2025</w:t>
      </w:r>
    </w:p>
    <w:p>
      <w:r>
        <w:t>IT: ZG_VERWALTUNGSGERICHT S 2023 53 del 24 marzo 2025</w:t>
      </w:r>
    </w:p>
    <w:p>
      <w:pPr>
        <w:pStyle w:val="Heading2"/>
      </w:pPr>
      <w:r>
        <w:t>Regeste</w:t>
      </w:r>
    </w:p>
    <w:p>
      <w:r>
        <w:t>Sozialvers.rechtl. Kammer — Unfallversicherung (Leistungen) — Beschwerde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Urteil S 2023 53 richt Zug, die offenbar auf Drängen des Klienten erst nach der Beschwerdeeinreichung er- folgten. Insgesamt resultiert so ein zu entschädigender Arbeitsaufwand von rund 8,5 Stun- den à Fr. 220.– (inkl. Auslagen und Mehrwertsteuer, vgl. § 9 Abs. 4 der Verordnung über die Kosten im Verfahren vor dem Verwaltungsgericht [KostenVO; BGS 162.12]), mithin Fr. 1'870.–. In dieser Höhe ist Rechtsanwältin Dr. iur. Barbara Wyler aus der Gerichtskas- se zu entschädigen.</w:t>
      </w:r>
    </w:p>
    <w:p>
      <w:r>
        <w:rPr>
          <w:b/>
        </w:rPr>
        <w:t>E. 15</w:t>
      </w:r>
    </w:p>
    <w:p>
      <w:r>
        <w:t>Urteil S 2023 53 Demnach erkennt das Verwaltungsgericht: __________________________________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