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110 vom 28. Januar 2025</w:t>
      </w:r>
    </w:p>
    <w:p>
      <w:r>
        <w:t>ZG Verwaltungsgericht, 2025-01-28, DE</w:t>
      </w:r>
    </w:p>
    <w:p>
      <w:r>
        <w:rPr>
          <w:b/>
        </w:rPr>
        <w:t xml:space="preserve">Quelle: </w:t>
      </w:r>
      <w:r>
        <w:t>https://mcp.opencaselaw.ch/entscheid/zg_verwaltungsgericht_S_2023_110</w:t>
      </w:r>
    </w:p>
    <w:p>
      <w:r>
        <w:t>FR: ZG_VERWALTUNGSGERICHT S 2023 110 du 28 janvier 2025</w:t>
      </w:r>
    </w:p>
    <w:p>
      <w:r>
        <w:t>IT: ZG_VERWALTUNGSGERICHT S 2023 110 del 28 gennaio 2025</w:t>
      </w:r>
    </w:p>
    <w:p>
      <w:pPr>
        <w:pStyle w:val="Heading2"/>
      </w:pPr>
      <w:r>
        <w:t>Regeste</w:t>
      </w:r>
    </w:p>
    <w:p>
      <w:r>
        <w:t>Sozialvers.rechtl. Kammer — Invalidenversicherung (Rente) — Beschwerde</w:t>
      </w:r>
    </w:p>
    <w:p>
      <w:pPr>
        <w:pStyle w:val="Heading2"/>
      </w:pPr>
      <w:r>
        <w:t>Erwägungen</w:t>
      </w:r>
    </w:p>
    <w:p>
      <w:r>
        <w:rPr>
          <w:b/>
        </w:rPr>
        <w:t>E. 9</w:t>
      </w:r>
    </w:p>
    <w:p>
      <w:r>
        <w:t>Urteil S 2023 110 4.3.3 Nach dem Gesagten ist festzuhalten, dass die IV-Stelle den Leistungsanspruch zu Unrecht verneint hat. Die angefochtene Verfügung ist aufzuheben und die Sache an die IV-Stelle zurückzuweisen, sodass sie den Leistungsanspruch – rechtskonform – prüfe. 5. Im Ergebnis ist die Beschwerde insoweit gutzuheissen, als die angefochtene Ver- fügung aufgehoben und die Sache an die IV-Stelle zurückgewiesen wird, sodass sie im Sinne des Gesagten verfahre. Eine Rentenprüfung resp. die Durchführung eines Einkom- mensvergleichs kann auf Grundlage der vorhandenen Akten nicht erfolgen (vgl. E. 4.3.1). Die Klärung der Frage, ob eine verwaltungsexterne medizinische Begutachtung nötig ist, wird Gegenstand des Verfahrens vor der Vorinstanz bilden. 6. Das Verfahren ist gemäss Art. 69 Abs. 1bis IVG kostenpflichtig. Es ist demnach ei- ne Spruchgebühr zu erheben, welche auf Fr. 800.– festgesetzt wird und entsprechend dem Ausgang des Verfahrens von der Beschwerdegegnerin zu tragen ist. Der Beschwer- deführerin ist der Kostenvorschuss in nämlicher Höhe zurückzuerstatten. Praxisgemäss wird die Rückweisung einem Obsiegen gleichgestellt, womit der anwaltlich vertretenen Beschwerdeführerin eine Parteientschädigung zusteht. Der Beschwerdeführerin ist zu Las- ten der Beschwerdegegnerin eine Parteientschädigung nach Art. 61 lit. g ATSG auszurich- ten, welche ermessensweise auf Fr. 2'700.– (inkl. Auslagen und MWST) festgesetzt wird.</w:t>
      </w:r>
    </w:p>
    <w:p>
      <w:r>
        <w:rPr>
          <w:b/>
        </w:rPr>
        <w:t>E. 10</w:t>
      </w:r>
    </w:p>
    <w:p>
      <w:r>
        <w:t>Urteil S 2023 110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