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81 vom 27. Februar 2020</w:t>
      </w:r>
    </w:p>
    <w:p>
      <w:r>
        <w:t>ZG Verwaltungsgericht, 2020-02-27, DE</w:t>
      </w:r>
    </w:p>
    <w:p>
      <w:r>
        <w:rPr>
          <w:b/>
        </w:rPr>
        <w:t xml:space="preserve">Quelle: </w:t>
      </w:r>
      <w:r>
        <w:t>https://mcp.opencaselaw.ch/entscheid/zg_verwaltungsgericht_S_2018_81</w:t>
      </w:r>
    </w:p>
    <w:p>
      <w:r>
        <w:t>FR: ZG_VERWALTUNGSGERICHT S 2018 81 du 27 février 2020</w:t>
      </w:r>
    </w:p>
    <w:p>
      <w:r>
        <w:t>IT: ZG_VERWALTUNGSGERICHT S 2018 81 del 27 febbraio 2020</w:t>
      </w:r>
    </w:p>
    <w:p>
      <w:pPr>
        <w:pStyle w:val="Heading2"/>
      </w:pPr>
      <w:r>
        <w:t>Regeste</w:t>
      </w:r>
    </w:p>
    <w:p>
      <w:r>
        <w:t>Sozialvers.rechtl. Kammer — Berufliche Vorsorge (Leistungen) — Klage</w:t>
      </w:r>
    </w:p>
    <w:p>
      <w:pPr>
        <w:pStyle w:val="Heading2"/>
      </w:pPr>
      <w:r>
        <w:t>Erwägungen</w:t>
      </w:r>
    </w:p>
    <w:p>
      <w:r>
        <w:rPr>
          <w:b/>
        </w:rPr>
        <w:t>E. 40</w:t>
      </w:r>
    </w:p>
    <w:p>
      <w:r>
        <w:t>% besteht. Aus diesem Grund erübrigt sich die Einholung des von der Klägerin beantragten medizinischen Gutachtens (Eingabe vom 27. August 2019). Es bleibt mithin festzustellen, dass die massgebende Arbeitsunfähigkeit der Klägerin, deren Ursache schliesslich zur Invalidität geführt hat, nicht während der Versicherungsdauer bei der Beklagten (1. November 2013 bis Ende September 2015, inkl. Nachdeckungsfrist) eingetreten ist. Folglich ist die Zuständigkeit der Beklagten, im vorliegenden Fall Rentenleistungen auszuzahlen, zu verneinen. Ob allenfalls eine andere Vorsorgeeinrichtung leistungspflichtig ist, kann das Verwaltungsgericht im vorliegenden Verfahren nicht prüfen, da die Klägerin nur eine einzige Vorsorgeeinrichtung eingeklagt hat. Die Klage erweist sich vollumfänglich als unbegründet und ist daher abzuweisen. 4.2 Lediglich der Vollständigkeit halber ist im Folgenden kurz auf die subjektiven Angaben der Klägerin und auf die echtzeitlichen medizinischen Unterlagen einzugehen.</w:t>
      </w:r>
    </w:p>
    <w:p>
      <w:r>
        <w:t>14 Urteil S 2018 81 4.2.1 Im vorliegenden Verfahren gab die Klägerin an, zu Beginn des Arbeitsverhältnisses bei der J.________ voll leistungsfähig gewesen zu sein (Eingabe vom 27. August 2019, Ziff. 13). Diese Aussage widerspricht ihren früheren Darlegungen. Sie meldete sich am 4. Juni 2012 für Leistungen der IV (berufliche Integration und Rente) an. Offenbar ging sie davon aus, dass sie in ihrem funktionellen Leistungsvermögen stark eingeschränkt war, andernfalls sich ein Antrag auf berufliche Wiedereingliederung und Rentenausrichtung erübrigt hätte. Des Weiteren räumte die Klägerin in ihrem Einwand vom 1. Juni 2017 gegen den Vorbescheid der IV-Stelle Luzern vom 18. Mai 2017 ein, sich auf eine 100 %-Stelle beworben zu haben, obwohl ihr die Ärzte bestätigt hätten, dass sie nicht voll leistungsfähig sei. Trotz erneuter Festanstellung zu 100 % könne sie wohl nicht mehr 100 % arbeiten (mit Verweis auf den IV-Protokolleintrag vom 14. Februar 2014). Schliesslich beantragte sie in ihrer Beschwerde gegen die Verfügungen der IV-Stelle Luzern vom 5. und vom 29. Januar 2018 die Zusprechung einer ganzen Rente ab 1. Dezember 2012. Diese Anträge und Darlegungen widersprechen ihrer Behauptung, sie sei zu Beginn des Arbeitsverhältnisses bei der J.________ voll leistungsfähig gewesen. 4.2.2 Zum Gesundheitszustand der Klägerin während des Vorsorgeverhältnisses bei der Beklagten ergibt sich aus den Akten, dass sie in der allgemeinen körperlichen Leistungsfähigkeit und auch in der Arbeitsfähigkeit im angestammten Beruf eingeschränkt gewesen ist. Obwohl aktuell sämtliche hormonellen Funktionen stabil ersetzt und eingestellt seien, persistierten eine teilweise ausgeprägte Müdigkeit im Sinne einer Fatigue sowie Konzentrationsstörungen, die bei einem 100% Arbeitspensum deutlich manifest würden (Bericht des Endokrinologen Dr. med. L.________ vom 7. Oktober 2014). Die Klägerin litt an einer sich aktuell ausgeprägt manifestierenden verminderten mentalen Belastbarkeit, die auf die seit Jahren bestehende chronische Überforderungssituation und auf das in der Folge schlechtere psychische Befinden zurückzuführen sei (neuropsychologischer Bericht der Fachpsychologinnen für Neuropsychologie FSP M.________ und N.________ vom 15. Mai 2015). Schliesslich führte ihre Arbeitgeberin mit ihr diverse Gespräche, da sie mit ihren Leistungen nicht zufrieden war (zu den Gründen, vgl. E-Mail von O.________, ehemalige Vorgesetzte der Klägerin bei der J.________ vom 26. Mai 2015; E-Mail von P.________, HR Shared Services Manager der J.________ vom 2. Juli 2018). Die echtzeitlichen Unterlagen verdeutlichen somit, dass die Klägerin sowohl zu Beginn als auch während der Dauer des Arbeitsverhältnisses bei der J.________ in ihrer Arbeitsfähigkeit wesentlich eingeschränkt gewesen ist.</w:t>
      </w:r>
    </w:p>
    <w:p>
      <w:r>
        <w:t>15 Urteil S 2018 81 4.3 Abschliessend bleibt – wie bereits erwähnt – festzuhalten, dass die massgebende Arbeitsunfähigkeit der Klägerin, deren Ursache schliesslich zur Invalidität geführt hat, nicht während der Versicherungsdauer bei der Beklagten (1. November 2013 bis Ende September 2015, inkl. Nachdeckungsfrist) eingetreten ist. Folglich ist die Zuständigkeit der Beklagten, im vorliegenden Fall Rentenleistungen auszuzahlen, zu verneinen. Aus diesem Grund erübrigt es sich, auf die Vorbringen der Klägerin betreffend Validen- und Invalideneinkommen einzugehen. Ebenso kann auf die Abnahme der von der Beklagten beantragten Beweisanträge (amtliche Erkundigung bei der J.________ und Zeugenbefragung) verzichtet werden. Schliesslich kann auch offen bleiben, ob die Klägerin gegenüber der Beklagten diverse Fragen in der Eintrittsmeldung falsch beantwortet und dadurch eine Anzeigepflichtverletzung begangen hat. Die Klage erweist sich als unbegründet und ist daher vollumfänglich abzuweisen. 5. Gemäss Art. 73 Abs. 2 BVG ist das Verfahren in der Regel kostenlos. Einer Partei aber, die sich leichtsinnig oder mutwillig verhält, können eine Spruchgebühr und die Verfahrenskosten auferlegt werden (Schwarzenbach-Hanhart, Die Rechtspflege nach dem BVG, SZS 1983, S. 169 ff.). Dies ist vorliegend nicht der Fall, weshalb auf die Auferlegung von Kosten verzichtet wird. Nach § 28 Abs. 3 VRG ist im Prozess über verwaltungsgerichtliche Klagen die unterliegende Partei in der Regel zum Ersatz aller dem Gegner verursachten notwendigen Kosten und Umtriebe zu verpflichten. Auch wenn die Beklagte obsiegt, kann ihr als mit der Durchführung öffentlicher Aufgaben betraute Vorsorgeeinrichtung praxisgemäss keine Parteientschädigung zugesprochen werden (§ 28 Abs. 2a VRG; BGE 128 V 124 Erw. 5b; 126 V 143 Erw. 4a mit Hinweisen). Aus diesem Grund erübrigt sich die von ihr beantragten Einholung einer Kostennote (Klageantwort Ziff. 82).</w:t>
      </w:r>
    </w:p>
    <w:p>
      <w:r>
        <w:t>16 Urteil S 2018 81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