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34 vom 21. November 2024</w:t>
      </w:r>
    </w:p>
    <w:p>
      <w:r>
        <w:t>ZG Verwaltungsgericht, 2024-11-21, DE</w:t>
      </w:r>
    </w:p>
    <w:p>
      <w:r>
        <w:rPr>
          <w:b/>
        </w:rPr>
        <w:t xml:space="preserve">Quelle: </w:t>
      </w:r>
      <w:r>
        <w:t>https://mcp.opencaselaw.ch/entscheid/zg_verwaltungsgericht_A_2024_34</w:t>
      </w:r>
    </w:p>
    <w:p>
      <w:r>
        <w:t>FR: ZG_VERWALTUNGSGERICHT A 2024 34 du 21 novembre 2024</w:t>
      </w:r>
    </w:p>
    <w:p>
      <w:r>
        <w:t>IT: ZG_VERWALTUNGSGERICHT A 2024 34 del 21 novembre 2024</w:t>
      </w:r>
    </w:p>
    <w:p>
      <w:pPr>
        <w:pStyle w:val="Heading2"/>
      </w:pPr>
      <w:r>
        <w:t>Regeste</w:t>
      </w:r>
    </w:p>
    <w:p>
      <w:r>
        <w:t>Abgaberechtliche Kammer — Kantons- und Gemeindesteuern / direkte Bundessteuer 2024 (Kapitalleistung aus Vorsorge) — Rekurs</w:t>
      </w:r>
    </w:p>
    <w:p>
      <w:pPr>
        <w:pStyle w:val="Heading2"/>
      </w:pPr>
      <w:r>
        <w:t>Erwägungen</w:t>
      </w:r>
    </w:p>
    <w:p>
      <w:r>
        <w:rPr>
          <w:b/>
        </w:rPr>
        <w:t>E. 4</w:t>
      </w:r>
    </w:p>
    <w:p>
      <w:r>
        <w:t>Zur Steuererhebungskompetenz des Bundes, des Kantons Zug und seiner Ge- meinden kann auf die einschlägigen Rechtsgrundlagen verwiesen werden: Artikel 3, 42 Abs. 1, 127, 128 Abs. 1 lit. a und 129 BV, das DBG, das Bundesgesetz über die Harmoni- sierung der direkten Steuern der Kantone und Gemeinden [StHG; SR 642.14] sowie die Verfassung des Kantons Zug (KV; BGS 111.1; vgl. etwa: § 1, 15 und 74 KV), das StG so- wie die dazu erlassenen Verordnungen. Es handelt sich mithin auf allen Ebenen um öf- fentlich-rechtliche Gebietskörperschaften, welche kraft Verfassung und Gesetz zur Steu- ererhebung befugt sind (vgl. hierzu Markus Reich, Steuerrecht, 3. Aufl. 2020, § 1 Rz. 7). Steuern bilden heute die wichtigste Einnahmequelle des Staates und stellen gewisser- massen den Lebensnerv jedes Gemeinwesens dar. Die Steuererhebungskompetenz kann auch als Rückgrat des Föderalismus betrachtet werden, denn "the power to tax is the power to govern" (Reich, a.a.O., § 1 Rz. 14). Dass die Schweizerische Eidgenossenschaft sämtliche Voraussetzungen eines souveränen Staates im Sinne der Völkerrechtstheorie und der allgemeinen Staatslehre erfüllt (sog. Dreielementenlehre von Georg Jellinek: Staatsvolk, Staatsgebiet, Staatsgewalt; vgl. hierzu etwa Haller/Kölz/Gächter, Allgemeines Staatsrecht, 6. Aufl. 2020, Rz. 27 ff.), ist offenkundig. Die Schweizerische Eidgenossen- schaft ist mithin ein Subjekt des Völkerrechts. Im Übrigen hat auch das Bundesgericht bereits mehrfach festgestellt, dass die Argumenta- tion einer Umwandlung der Gemeinwesen in gewinnorientierte Unternehmen völlig abwe- gig sei und keiner weiteren Auseinandersetzung bedürfe (so etwa: BGer 9C_72/2023 vom</w:t>
      </w:r>
    </w:p>
    <w:p>
      <w:r>
        <w:rPr>
          <w:b/>
        </w:rPr>
        <w:t>E. 8</w:t>
      </w:r>
    </w:p>
    <w:p>
      <w:r>
        <w:t>Urteil A 2024 34 festhält) eine gültige Besteuerungskompetenz enthält. Die Bundesverfassung wurde zwar seit 1999 punktuell verändert, aber die hier einschlägigen Artikel 3, 42 Abs. 1, 127, 128 Abs. 1 lit. a und 129 BV wurden seit 1999 nicht verändert, weshalb diese als gültige Be- steuerungsgrundlage weiterhin vorhanden sind. Der Rekurrent übersieht, dass es an ihm wäre, nachvollziehbar, d.h. logisch und durch Dritte überprüfbar (sog. Reproduzierbarkeit) darzulegen, weshalb der Bund und der Kan- ton ihm gegenüber nicht hoheitlich aufgetreten sind und wie das überhaupt möglich sein soll (ausserhalb des privatrechtlichen Handelns dieser öffentlich-rechtlichen Körperschaf- ten; wie etwa des vertraglichen Handelns). Der Rekurrent begründet dies hauptsächlich anhand sowohl des ausländischen Registers von Dun &amp; Bradstreet als auch des Fusionsgesetzes (Rekurs, Rz. 2). Der Rekurrent zitiert unter anderem Art. 1 Abs. 3 FusG, der da lautet: "Ferner legt es die privatrechtlichen Voraussetzungen fest, unter welchen Institute des öffentlichen Rechts mit privatrechtlichen Rechtsträgern fusionieren, sich in privatrechtliche Rechtsträger umwan- deln oder sich an Vermögensübertragungen beteiligen können." Der Rekurrent geht fälschlicherweise davon aus, dass der Begriff "Institute des öffentli- chen Rechts" auch Gebietskörperschaften wie Bund, Kantone oder Gemeinden umfasst. Diese Auslegung hält indessen einer Überprüfung nicht stand: Art. 2 lit. d FusG enthält eine Legaldefinition des Begriffs "Institute des öffentlichen Rechts"; diese lautet: "im Handelsregister eingetragene, organisatorisch verselbständigte Einrichtungen des öffentlichen Rechts des Bundes, der Kantone und der Gemeinden, un- abhängig davon, ob sie als juristische Person ausgestaltet sind oder nicht". Die grammatikalische Auslegung ergibt also, dass nur im (schweizerischen) Handelsregis- ter eingetragene Institute sich in privatwirtschaftliche Unternehmungen umwandeln können (Art. 1 Abs. 3 i.V.m. Art. 2 lit. d FusG). Die Botschaft FusG (BBl 2000 4389) führt dazu aus, was folgt: Wie bereits erwähnt (s. Ziff. 1.3.2.5), regelt der Entwurf zum Fusionsgesetz auch die Umwandlung von Institu- ten des öffentlichen Rechts in privatrechtliche Rechtsträger (Art. 99 ff.). Da weder das Ge- setz noch die Lehre eine einheitliche Terminologie für die Rechtsformen des öffentlichen</w:t>
      </w:r>
    </w:p>
    <w:p>
      <w:r>
        <w:rPr>
          <w:b/>
        </w:rPr>
        <w:t>E. 9</w:t>
      </w:r>
    </w:p>
    <w:p>
      <w:r>
        <w:t>Urteil A 2024 34 Rechts verwendet, muss das Fusionsgesetz bestimmen, welche von ihnen von seinem Geltungsbereich erfasst sind. Die Legaldefinition in Buchstabe d wurde absichtlich sehr weit gehalten. Sie umfasst die Gesamtheit der Institute des öffentlichen Rechts des Bun- des, der Kantone und der Gemeinden, unabhängig davon, ob es sich um eine Personen- vereinigung (Körperschaft) oder um ein Zweckvermögen (Anstalt) handelt. Um als Recht- sträger im Sinne des Fusionsgesetzes zu gelten, müssen Einrichtungen des öffentlichen Rechts einzig im Handelsregister eingetragen und organisatorisch verselbstständigt sein. Dieses Kriterium wurde gewählt, da es einem Institut nur möglich ist, an einer Fusion oder einer Umwandlung teilzunehmen, wenn es von der Gebietskörperschaft des öffentlichen Rechts (Bund, Kanton, Gemeinde), der es zugehört, abgetrennt werden kann. Die organi- satorische Unabhängigkeit deckt sich in dieser Hinsicht nicht unbedingt mit dem Kriterium der Rechtspersönlichkeit. Ein Institut des öffentlichen Rechts, das zwar nicht als juristische Person ausgestaltet, aber organisatorisch verselbstständigt ist, kann an einem im Fusi- onsgesetz vorgesehen Vorgang teilnehmen. Die historische Auslegung ergibt also, dass Gebietskörperschaften des öffentlichen Rechts (wie Bund, Kantone und Gemeinden) gemäss Fusionsgesetz eben gerade nicht in privat- wirtschaftliche Unternehmungen umgewandelt werden können, weil sie dazu im schweize- rischen Handelsregister eingetragen sein müssten. Selbst wenn die Auffassung des Rekurrenten korrekt wäre und der Bund oder der Kanton Zug (heimlich) in eine privatwirtschaftliche Unternehmung umgewandelt worden wären, dann wäre der Rekurrent für diese Behauptung beweispflichtig (vgl. Art. 8 ZGB). Er müss- te belegen können, dass die notwendigen Umwandlungsschritte gemäss FusG erfolgt sind. Er müsste also zumindest ein Inventar gemäss Art. 100 Abs. 2 FusG vorlegen kön- nen, da dieses bei Umwandlungen zwingend zu erstellen ist. 7. Die Kosten des Verfahrens vor dem Verwaltungsgericht werden der unterliegen- den Partei auferlegt (§ 120 Abs. 1 StG; Art. 144 Abs. 1 DBG). Die Höhe der Spruchgebühr beträgt Fr. 400.– bis Fr. 15'000.– (§ 1 Abs. 1 der Verordnung über die Kosten vor dem Verwaltungsgericht [KoV VG; BGS 162.12]). Die Kosten werden aufgrund des Zeit- und Arbeitsaufwandes, der Wichtigkeit und Schwierigkeit der Sache sowie des Streitwerts er- mittelt (§ 1 Abs. 2 KoV VG). Die Spruchgebühr wird vorliegend auf Fr. 2'000.– festgesetzt und ausgangsgemäss dem Rekurrent auferlegt (Basis gemäss Ziff. III der Richtlinien für die Festlegung der Gerichtskosten gemäss § 22 VRG). Diese wird mit dem geleisteten Kostenvorschuss von Fr. 2'000.– verrechnet.</w:t>
      </w:r>
    </w:p>
    <w:p>
      <w:r>
        <w:rPr>
          <w:b/>
        </w:rPr>
        <w:t>E. 10</w:t>
      </w:r>
    </w:p>
    <w:p>
      <w:r>
        <w:t>Urteil A 2024 34 Eine Parteientschädigung ist nicht zuzusprechen (§ 120 Abs. 3 StG; Art. 144 Abs. 4 DBG i.V.m. Art. 64 des Bundesgesetzes über das Verwaltungsverfahren [VwVG; SR 172.021]).</w:t>
      </w:r>
    </w:p>
    <w:p>
      <w:r>
        <w:rPr>
          <w:b/>
        </w:rPr>
        <w:t>E. 11</w:t>
      </w:r>
    </w:p>
    <w:p>
      <w:r>
        <w:t>Urteil A 2024 34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