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ZG_VERWALTUNGSGERICHT A 2024 29 vom 16. Oktober 2024</w:t>
      </w:r>
    </w:p>
    <w:p>
      <w:r>
        <w:t>ZG Verwaltungsgericht, 2024-10-16, DE</w:t>
      </w:r>
    </w:p>
    <w:p>
      <w:r>
        <w:rPr>
          <w:b/>
        </w:rPr>
        <w:t xml:space="preserve">Quelle: </w:t>
      </w:r>
      <w:r>
        <w:t>https://mcp.opencaselaw.ch/entscheid/zg_verwaltungsgericht_A_2024_29</w:t>
      </w:r>
    </w:p>
    <w:p>
      <w:r>
        <w:t>FR: ZG_VERWALTUNGSGERICHT A 2024 29 du 16 octobre 2024</w:t>
      </w:r>
    </w:p>
    <w:p>
      <w:r>
        <w:t>IT: ZG_VERWALTUNGSGERICHT A 2024 29 del 16 ottobre 2024</w:t>
      </w:r>
    </w:p>
    <w:p>
      <w:pPr>
        <w:pStyle w:val="Heading2"/>
      </w:pPr>
      <w:r>
        <w:t>Regeste</w:t>
      </w:r>
    </w:p>
    <w:p>
      <w:r>
        <w:t>Abgaberechtliche Kammer — Kantons- und Gemeindesteuern / direkte Bundessteuer 2021 und 2022 (Nichteintreten auf Einsprache) — Rekurs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Urteil A 2024 29 A. Die A.________ wurde für die Steuerperioden 2021 und 2022 mit Verfügungen datiert vom 5. September 2024, zugestellt gemäss Sendungsverfolgung der Post indes be- reits am 4. September 2024, veranlagt (StV-act. 4 ff.). Die A.________ formulierte gegen beide Verfügungen Einsprache, die sie am 4. Oktober 2024 an die Post in Dublin übergab (StV-act. 7). Die Sendung traf am 8. Oktober 2024 an der Schweizer Grenze ein (StV- act. 8). Mit Einspracheentscheid vom 16. Oktober 2024 trat die Steuerverwaltung des Kan- tons Zug infolge Fristversäumnisses auf das Rechtsmittel nicht ein (StV-act. 9). B. Dagegen rekurrierte die A.________ mit Eingabe datiert vom 12. November 2024 (eingegangen auf der Gerichtskanzlei am 14. November 2024) beim Verwaltungsgericht des Kantons Zug (act. 1). C. Das Verwaltungsgericht forderte die A.________ zunächst auf, ihre Rekursschrift zu verbessern (Unterzeichnung durch für die Gesellschaft zeichnungsberechtigte Perso- nen). Dieser Aufforderung kam die A.________ innert Frist nach und leistete auch den einverlangten Kostenvorschuss von Fr. 2'000. fristgerecht (act. 2 ff.). D. Die Steuerverwaltung schloss mit Vernehmlassung vom 18. Dezember 2024 auf Abweisung des Rekurses, soweit darauf einzutreten sei (act. 6). Die Eidgenössische Steuerverwaltung liess sich nicht vernehmen. Das Verwaltungsgericht erwägt: 1. Gemäss § 136 Abs. 1 des kantonalen Steuergesetzes (StG; BGS 632.1) kann die steuerpflichtige Person gegen Einspracheentscheide der kantonalen Steuerverwaltung in- nert 30 Tagen schriftlich Rekurs beim Verwaltungsgericht erheben. Nach Art. 140 Abs. 1 des Bundesgesetzes über die direkte Bundessteuer (DBG; SR 642.11) kann die Steuer- pflichtige gegen Einspracheentscheide der Veranlagungsbehörde für die direkte Bundes- steuer innert 30 Tagen nach Zustellung bei einer von der Steuerbehörde unabhängigen Rekurskommission schriftlich Beschwerde erheben. Gemäss § 75 Abs. 1 des Verwal- tungsrechtspflegegesetzes (VRG; BGS 162.1) ist das Verwaltungsgericht die kantonale Rekursbehörde im Sinne der Vorschriften über die direkte Bundessteuer. Die Beschwer- den werden, unter Vorbehalt abweichender und ergänzender Vorschriften des Bundes-</w:t>
      </w:r>
    </w:p>
    <w:p>
      <w:r>
        <w:rPr>
          <w:b/>
        </w:rPr>
        <w:t>E. 2.1</w:t>
      </w:r>
    </w:p>
    <w:p>
      <w:r>
        <w:t>Mit der E-Mail-Eingabe vom 3. Oktober 2024 wurde – abgesehen davon, dass sie an den hauptsächlichen Empfänger aufgrund eines Tippfehlers gar nie zugestellt wurde – das Schriftformerfordernis gemäss § 132 Abs. 1 StG bzw. Art. 132 Abs. 1 DBG nicht ge- wahrt, wie dies bereits die Steuerverwaltung in ihrer Stellungnahme vom 18. Dezember 2024 korrekt bekräftigt hat (act. 6). Eine elektronische Eingabe mit qualifizierter elektroni- scher Signatur liegt nicht vor, weshalb sich Weiterungen zu dieser Möglichkeit erübrigen.</w:t>
      </w:r>
    </w:p>
    <w:p>
      <w:r>
        <w:rPr>
          <w:b/>
        </w:rPr>
        <w:t>E. 2.2</w:t>
      </w:r>
    </w:p>
    <w:p>
      <w:r>
        <w:t>Die Übergabe an die irische Post vermochte die laufende Einsprachefrist ebenso wenig zu wahren. Die Vorinstanz hat diesbezüglich im angefochtenen Einspracheent- scheid vom 16. Oktober 2024 (StV-act. 9) zu Recht auf die einschlägigen gesetzlichen Be- stimmungen (§ 117 Abs. 1 f. StG sowie Art. 133 Abs. 1 DBG) und die ständige Rechtspre- chung verwiesen, wonach die Aufgabe einer Rechtsschrift bei einer ausländischen Post- stelle für die Fristwahrung nicht genügt, sofern das Schriftstück nicht vor Ablauf der Frist in den Machtbereich der Schweizerischen Post gelangt (vgl. etwa BGer 9C_685/2023 vom 23. April 2024 E. 2.6.1). Demnach ist die Steuerverwaltung auf die verspätete Einsprache (Übernahme der Re- kursschrift durch die Schweizerische Post erst am 8. Oktober 2024) zu Recht nicht einge- treten und sind der vorliegende Rekurs bzw. die Beschwerde abzuweisen.</w:t>
      </w:r>
    </w:p>
    <w:p>
      <w:r>
        <w:rPr>
          <w:b/>
        </w:rPr>
        <w:t>E. 3</w:t>
      </w:r>
    </w:p>
    <w:p>
      <w:r>
        <w:t>Selbstredend steht der vorliegende Entscheid der von der Vorinstanz in Aussicht gestellten Berichtigung gemäss § 143 Abs. 1 StG nicht entgegen. Eine solche wird gemäss Aktenlage von der Steuerverwaltung nach Rechtskraft der Veranlagung bezüglich des Steuerjahres 2021 zu prüfen sein, nachdem diese festgestellt hat, dass ihr ein Einga- be- bzw. Kanzleifehler unterlaufen ist (StV-act. 11).</w:t>
      </w:r>
    </w:p>
    <w:p>
      <w:r>
        <w:rPr>
          <w:b/>
        </w:rPr>
        <w:t>E. 4</w:t>
      </w:r>
    </w:p>
    <w:p>
      <w:r>
        <w:t>Die Kosten des Verfahrens vor dem Verwaltungsgericht werden der unterliegen- den Partei auferlegt (§ 120 Abs. 1 StG; Art. 144 Abs. 1 DBG). Bei diesem Ausgang des Verfahrens unterliegt die Rekurrentin vollständig. Die Höhe der Spruchgebühr beträgt Fr. 400.– bis Fr. 15'000.– (§ 1 Abs. 1 der Verordnung über die Kosten vor dem Verwal- tungsgericht [KoV VG; BGS 162.12]). Die Kosten werden aufgrund des Zeit- und Arbeits- aufwandes, der Wichtigkeit und Schwierigkeit der Sache sowie des Streitwerts ermittelt (§ 1 Abs. 2 KoV VG). Die Spruchgebühr wird vorliegend auf Fr. 2'000.– festgesetzt und der Rekurrentin auferlegt (Basis gemäss Ziff. III der Richtlinien für die Festlegung der Ge- richtskosten gemäss § 22 VRG). Eine Parteientschädigung ist nicht zuzusprechen (§ 120 Abs. 3 StG; Art. 144 Abs. 4 DBG i.V.m. Art. 64 des Bundesgesetzes über das Verwaltungsverfahren [VwVG; SR 172.021]).</w:t>
      </w:r>
    </w:p>
    <w:p>
      <w:r>
        <w:rPr>
          <w:b/>
        </w:rPr>
        <w:t>E. 5</w:t>
      </w:r>
    </w:p>
    <w:p>
      <w:r>
        <w:t>Urteil A 2024 29 Demnach erkennt das Verwaltungsgericht: __________________________________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