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25 vom 5. Juni 2023</w:t>
      </w:r>
    </w:p>
    <w:p>
      <w:r>
        <w:t>ZG Verwaltungsgericht, 2023-06-05, DE</w:t>
      </w:r>
    </w:p>
    <w:p>
      <w:r>
        <w:rPr>
          <w:b/>
        </w:rPr>
        <w:t xml:space="preserve">Quelle: </w:t>
      </w:r>
      <w:r>
        <w:t>https://mcp.opencaselaw.ch/entscheid/zg_verwaltungsgericht_A_2021_25</w:t>
      </w:r>
    </w:p>
    <w:p>
      <w:r>
        <w:t>FR: ZG_VERWALTUNGSGERICHT A 2021 25 du 5 juin 2023</w:t>
      </w:r>
    </w:p>
    <w:p>
      <w:r>
        <w:t>IT: ZG_VERWALTUNGSGERICHT A 2021 25 del 5 giugno 2023</w:t>
      </w:r>
    </w:p>
    <w:p>
      <w:pPr>
        <w:pStyle w:val="Heading2"/>
      </w:pPr>
      <w:r>
        <w:t>Regeste</w:t>
      </w:r>
    </w:p>
    <w:p>
      <w:r>
        <w:t>Abgaberechtliche Kammer — Kantons- und Gemeindesteuern 2019 (Vermögenssteuerwert Liegenschaften) — Rekurs</w:t>
      </w:r>
    </w:p>
    <w:p>
      <w:pPr>
        <w:pStyle w:val="Heading2"/>
      </w:pPr>
      <w:r>
        <w:t>Erwägungen</w:t>
      </w:r>
    </w:p>
    <w:p>
      <w:r>
        <w:rPr>
          <w:b/>
        </w:rPr>
        <w:t>E. 3.1</w:t>
      </w:r>
    </w:p>
    <w:p>
      <w:r>
        <w:t>Vorliegend ist die Bewertung der Liegenschaften E.________ (mit Nebeneingang zur Strasse F.________) und H.________ für die Vermögenssteuer in der Steuerperiode 2019, d.h. mit Bewertungszeitpunkt zum 31. Dezember 2019 umstritten. Die Rekurrenten weisen diesen Liegenschaften gesamthaft einen Vermögenssteuerwert (Ertragswert) von Fr. 10'980'000.– zu, wogegen die Rekursgegnerin einen solchen von Fr. 18'332'000.– ver- anlagte. Dies ergibt die strittige Bewertungsdifferenz von Fr. 7'352'000.–.</w:t>
      </w:r>
    </w:p>
    <w:p>
      <w:r>
        <w:rPr>
          <w:b/>
        </w:rPr>
        <w:t>E. 3.2</w:t>
      </w:r>
    </w:p>
    <w:p>
      <w:r>
        <w:t>Was diese Liegenschaftsbewertungen betrifft, sind sich die Parteien grundsätzlich einig betreffend die zur Anwendung gebrachte Bewertungsmethode, d.h. der Bewertung zum Ertragswert, mit Kapitalisierung der relevanten Mieterträge 2019 zum Kapitalisierungszinssatz von 7 % (act. 8, S. 1, dritter Abschnitt). Ebenfalls nicht strittig sind die dabei für die Liegenschaft H.________ und den Liegenschaftsteil F.________ (als Teil der Liegenschaft E.________) eruierten und veranlagten Vermögenssteuerwerte, für wel-</w:t>
      </w:r>
    </w:p>
    <w:p>
      <w:r>
        <w:rPr>
          <w:b/>
        </w:rPr>
        <w:t>E. 3.3</w:t>
      </w:r>
    </w:p>
    <w:p>
      <w:r>
        <w:t>Die strittige Bewertungsdifferenz bezieht sich daher ausschliesslich auf die Lie- genschaft E.________ (hier als Liegenschaftsteil Büro/Gewerbe, ohne Liegenschaftsteil F.________). Strittig ist dabei, ob der Ertragswert aufgrund der Ist-Mieten oder der Soll- Mieten zu berechnen ist und, wenn die Soll-Miete ausschlaggebend sein sollte, wie hoch diese anzusetzen wäre. Die Rekurrenten vertreten die Auffassung, dass der Ertragswert (Vermögenssteuerwert) auf Basis der tatsächlich in 2019 erzielten Mieterträge (Ist-Miete, ohne Berücksichtigung der nicht vermieteten, als Leerstand bezeichneten Räumlichkeiten) und ohne die ausser- ordentliche Mietertragskomponente (Fr. 20'961.05.–) zu berechnen sei. Auf der so ermit- telten Mietzinsbasis von Fr. 332'300.80 (Soll-Nettomietzinse von Fr. 826'001.80 abzüglich Leerstand von Fr. 493'701.–; vgl. StV-act. 6 mit Erfolgsrechnung 2019 für Liegenschaft E.________) weisen sie der Liegenschaft E.________ einen Vermögenssteuerwert (Er- tragswert) von gerundet Fr. 4'747'100.– zu (Fr. 332'300.80 kapitalisiert mit 7 %). Die Rekursgegnerin hingegen berechnet den Ertragswert auf Basis der in der Liegen- schaftserfolgsrechnung deklarierten potenziell erzielbaren Mieterträge (d.h. inklusive "Leerstände") von Fr. 826'001.80 plus dem dort ebenfalls ausgewiesenen ausserordentli- chen Ertrag von Fr. 20'961.05, somit von total Fr. 846'962.85, resultierend in einem Er- tragswert von gerundet Fr. 12'100'000.–, bzw. der wiederum strittigen Bewertungsdifferenz von (gerundet) Fr. 7'352'000.–. 4. 4.1 Wie die Rekursgegnerin richtig bemerkt, findet sich die Rechtsgrundlage zur Ver- mögensbesteuerung im Bundesgesetz über die Harmonisierung der direkten Steuern der Kantone und Gemeinden (StHG; SR 642.14). Gemäss Art. 14 Abs. 1 StHG wird das Ver- mögen zum Verkehrswert bewertet, wobei der Ertragswert angemessen berücksichtigt werden kann. Diese Bestimmung gibt den Kantonen vor, dass bei der Bewertung der Ver-</w:t>
      </w:r>
    </w:p>
    <w:p>
      <w:r>
        <w:rPr>
          <w:b/>
        </w:rPr>
        <w:t>E. 6</w:t>
      </w:r>
    </w:p>
    <w:p>
      <w:r>
        <w:t>Urteil A 2021 25 che die relevanten Ertragswerte anhand der von den Rekurrenten in den entsprechenden Liegenschaftserfolgsrechnungen ausgewiesenen Bruttomieterträgen ermittelt wurden (in- klusive Soll-Miete auf dem Leerstand im Liegenschaftsteil F.________). Für diese ergeben sich dem Gericht aufgrund der von den Parteien anerkannten relevanten Bruttomieterträ- gen nicht strittige Vermögenssteuerwerte (Ertragswerte) von gerundet Fr. 3'350'000.– für die F.________ (mit 7 % kapitalisierter Mietertrag von Fr. 234'540.–) und Fr. 2'882'000.– für die H.________ (mit 7 % kapitalisierter Mietertrag von Fr. 201'768.–).</w:t>
      </w:r>
    </w:p>
    <w:p>
      <w:r>
        <w:rPr>
          <w:b/>
        </w:rPr>
        <w:t>E. 7</w:t>
      </w:r>
    </w:p>
    <w:p>
      <w:r>
        <w:t>Urteil A 2021 25 kehrswert berücksichtigt werden muss. Nach welchen Regeln letzterer zu ermitteln ist, schreibt das Steuerharmonisierungsgesetz indessen nicht vor. Bezüglich der Ausgestal- tung und Umsetzung der Bewertungsregeln, auch der Frage, ob und in welchem Umfang der Ertragswert in die Bewertung einfliesst ("Kann-Vorschrift"), steht den Kantonen gemäss bundesgerichtlicher Rechtsprechung ein weiter Spielraum offen. 4.2 Praxisgemäss gilt als Verkehrswert der objektive Marktwert einer Liegenschaft, d.h. jener Wert, der bei einer Veräusserung im gewöhnlichen Geschäftsverkehr mutmass- lich zu erzielen ist. Dabei handelt es sich naturgemäss nicht um eine mathematisch exakt bestimmbare Grösse, sondern in der Regel um einen Schätz- oder Vergleichswert (zum Ganzen: BGer 2C_500/2018 vom 8. April 2020 E. 3.4, mit Verweisen auf die umfangreiche Rechtsprechung). Dabei wird eine schematische, formelmässige Festlegung des Vermö- genssteuerwerts von Liegenschaften als zulässig erachtet; eine mathematisch exakte Gleichbehandlung jeder einzelnen steuerpflichtigen Person ist daher aus veranlagungs- praktischen Gründen bei "Massenverwaltungsrecht" nie völlig erreichbar. Mit jeder Schätzung ist, unabhängig von der angewendeten Methode, zwangsläufig eine Streuung und Ungenauigkeit verbunden. In gewissen Kantonen (z.B. Bern) wird von einer realistischen Schätzungsungenauigkeit von plus/minus 10 % ausgegangen. Das Bundes- gericht spricht in einem älteren Entscheid gar von einer minimalen Streubreite von 20 % (BGE 128 I 240 E. 2.6). Entsprechend dürfen die Veranlagungsbehörden auch bei der Bewertung des unbeweglichen Vermögens zu Schematisierungen und Pauschalisierungen greifen. Solche sind im Abgaberecht, das als Massenverwaltungsrecht ausgestaltet ist, aus praktischen und veranlagungsökonomischen Gründen unvermeidlich und in einem gewissen Ausmass zulässig, auch wenn dabei die rechtsgleiche Behandlung nicht durch- wegs gewährleistet ist. Massenfallrecht liegt namentlich auch vor, wenn es um die kan- tonsweite Bewertung des unbeweglichen Vermögens geht (BGer 2C_38/2021 vom 3. März 2021 E. 3.5.2). Vor diesem Hintergrund sind Bewertungsnormen nicht schon deshalb zu beanstanden, wenn einzelne Elemente der vorgesehenen Bewertungsmethode bei isolierter Beurteilung allenfalls kritisierbar wären, sondern nur, wenn ihre Anwendung insgesamt zu klar gesetz- widrigen oder unhaltbaren Ergebnissen führen würde (vgl. BGE 124 I 159 E. 2f; 131 I 291 E. 3.2.2). Ein Verstoss gegen Art. 14 StHG liegt namentlich vor, wenn die Bewertungs- normen zu systematischen und erheblichen Über- oder Unterbewertungen führen (vgl. zum Ganzen: Richner/Frei/Kaufmann/Rohner, Kommentar zum Züricher Steuerge-</w:t>
      </w:r>
    </w:p>
    <w:p>
      <w:r>
        <w:rPr>
          <w:b/>
        </w:rPr>
        <w:t>E. 7.1</w:t>
      </w:r>
    </w:p>
    <w:p>
      <w:r>
        <w:t>Gemäss § 120 Abs. 1 StG werden die amtlichen Kosten des Verfahrens der unter- liegenden Partei ganz bzw. bei teilweiser Gutheissung im Verhältnis des Unterliegens auf- erlegt. Die Spruchgebühr beträgt Fr. 400.– bis Fr. 15'000.– (§ 1 Abs. 1 der Verordnung über die Kosten im Verfahren vor dem Verwaltungsgericht [KoV VG, BGS 162.12]) und ist in Anbetracht des Zeit- und Arbeitsaufwand des Gerichtes, der Wichtigkeit und Schwierig- keit der Sache sowie nach dem Streitwert oder den sonstigen Interessen der Parteien an der Beurteilung der Angelegenheit zu bestimmen (§ 1 Abs. 2 KoV VG). Sie wird vorliegend auf Fr. 2'500.– festgesetzt und dem Verfahrensausgang entsprechend vollumfänglich den Rekurrenten auferlegt.</w:t>
      </w:r>
    </w:p>
    <w:p>
      <w:r>
        <w:rPr>
          <w:b/>
        </w:rPr>
        <w:t>E. 7.2</w:t>
      </w:r>
    </w:p>
    <w:p>
      <w:r>
        <w:t>Den – ohnehin nicht vertretenen – Rekurrenten ist bei diesem Verfahrensausgang keine Parteientschädigung zuzusprechen (§ 120 Abs. 3 StG; vgl. auch § 28 Abs. 2 VRG).</w:t>
      </w:r>
    </w:p>
    <w:p>
      <w:r>
        <w:rPr>
          <w:b/>
        </w:rPr>
        <w:t>E. 8</w:t>
      </w:r>
    </w:p>
    <w:p>
      <w:r>
        <w:t>Urteil A 2021 25 setz, 4. Aufl. 2021, § 39 N 51; BGer 2C_418/2020 vom 21. Dezember 2021 E. 4.4.4 und 4.4.7). 4.3 Für den Kanton Zug bestimmt § 42 Abs. 1 StG, dass der Steuerwert von Grunds- tücken dem Verkehrswert entspricht. Dabei ist der Ertragswert angemessen zu berück- sichtigen. Gemäss § 20 Abs. 2 der Verordnung zum Steuergesetz (VO StG; BGS 632.11) gilt als Ertragswert in der Regel der mit 6 bis 8 % kapitalisierte Bruttoertrag der Liegen- schaft. Alter und baulicher Zustand des Objektes sind angemessen zu berücksichtigen. 4.4 Die diesbezügliche Praxis der Zuger Steuerbehörden findet sich in der Wegleitung Immobilienbesteuerung. Diese hält für Mehrfamilien- und Geschäftshäuser, sowie vermie- tete Ein-, Zweifamilienhäuser und Stockwerkeigentum fest, dass deren Verkehrswert vor- wiegend vom Ertragswert bestimmt wird. Der Bruttoertrag des Jahres wird mit 7 % kapita- lisiert (Basiszinssatz ist ein historisch durchschnittlicher Hypothekarzinssatz von 5 %; der Zuschlag von 2 % ist für die Deckung der Verwaltungs- und Betriebskosten sowie zur Bil- dung angemessener Rücklagen für den Unterhalt der Bauten). Der Steuerwert ist in jeder Steuerperiode neu zu beurteilen und wenn nötig anzupassen. Der Bruttoertrag bestimmt sich nach der Gesamtheit der von den Mietern geleisteten bzw. erzielbaren Entschädigun- gen. Bei vermieteten Einzelobjekten (EFH, ZFH, StWE) ist jeweils von einem Jahresmiet- ertrag auszugehen (Wegleitung Immobilienbesteuerung, Stand 2013, Ziff. 4). Diese Vor- gehensweise ist gemäss Ziff. 1 der Wegleitung in der Regel anzuwenden. Bei Vorliegen von besonderen Verhältnissen (z.B. besondere Bauart, Ausstattung oder Umgebung, Vil- len und Liebhaberobjekte) oder bei unrealistischen Ergebnissen, kann davon abgewichen werden. 4.5 Der Rekursgegnerin ist ebenfalls zuzustimmen, wenn sie ausführt, dass es gemäss bundesgerichtlicher Rechtsprechung als zulässig erachtet wurde, den kantonalen Vermögenssteuerwert von Mietliegenschaften ausschliesslich anhand des Ertragswertes, d.h. auf Basis der kapitalisierten Mieterträge, zu bestimmen (BGer 2C_418/2020 vom 21. Dezember 2021 E. 4.4.8), was vorliegend zwischen den Parteien auch nicht strittig ist. 4.6 Als Zwischenresultat kann folglich festgehalten werden, dass die im Kanton Zug relevanten Regelungen zur Bestimmung des Vermögenssteuerwerts von Liegenschaften (§ 42 Abs. 1 StG und § 20 VO StG, wonach der Ertragswert angemessen zu berücksichti- gen ist) und die hierauf basierende Veranlagungspraxis, bei Mehrfamilien- und Geschäfts- häusern, wie dies vorliegend für die Liegenschaft E.________ zutrifft, den Vermögens-</w:t>
      </w:r>
    </w:p>
    <w:p>
      <w:r>
        <w:rPr>
          <w:b/>
        </w:rPr>
        <w:t>E. 9</w:t>
      </w:r>
    </w:p>
    <w:p>
      <w:r>
        <w:t>Urteil A 2021 25 steuerwert vorwiegend als Ertragswert aufgrund der mit 7 % kapitalisierten Mieterträge zu ermitteln (Wegleitung Immobilienbesteuerung, a.a.O., Ziff. 4) vor Bundesrecht standhält und daher nicht zu beanstanden ist. 5. 5.1 Strittig bleibt, wie dieser Ertragswert im Falle des in 2019 nicht vollständig vermie- teten Geschäftshauses E.________ konkret zu berechnen ist, insbesondere ob der Miet- wert der in 2019 nicht vermieteten Gewerberäumlichkeiten (Leerstand) dem zu kapitalisie- renden, effektiv erzielten Mietertrag zuzuschlagen ist. Dabei geht es letztlich um die Frage, ob die Rekursgegnerin den Ertragswert bei ihrer Vermögenswertberechnung "angemes- sen" berücksichtigt hat bzw. ob sie im konkreten Fall zu einem unrealistischen Ergebnis gekommen ist. Dies gilt es nachfolgend zu prüfen: 5.2 Methodisch ist der Ertragswert einer Immobilie die Summe aller zukünftig erwarte- ten, auf den Bewertungszeitpunkt (vorliegend 31. Dezember 20219) diskontierten Erträge, somit der Barwert aller zukünftig erwarteten Erträgnisraten. Er entspricht dem kapitalisier- ten jährlichen Mietwert einer Liegenschaft (Richner/Frei/Kaufmann/Rohner, a.a.O., § 220 N 202). Grundlage der Schätzung des Ertragswerts bilden daher die am Bewertungsstich- tag zu erwartenden nachhaltigen Mieterträge, somit die erzielbaren Mieterträge, wobei die in einem verflossenen Zeitraum tatsächlich erzielten Mieterträge nur insofern zu berück- sichtigen sind, als sie Schlüsse auf künftige Mieterträge zulassen (Richner/Frei/Kaufmann/ Rohner, a.a.O., § 220 N 204). 5.3 Was die von den Rekurrenten ins Feld geführten Investitionen von Fr. 4.3 Mio. be- trifft, ist folglich der Rekursgegnerin zuzustimmen, dass diesen nur indirekt ein Zusam- menhang mit den erzielbaren Mieterträgen zukommt. Da es sich dabei, wie die Rekurren- ten in der Replik selber korrigierend einbringen (act. 8, S. 3, sechster Abschnitt), nicht um Unterhaltskosten, sondern um Investitionen gehandelt haben soll, dürften sie sich sodann eher erhöhend (und nicht vermindernd) auf den (Ertrags-)Wert der strittigen Liegenschaft ausgewirkt haben. 5.4 Aus dem Gesagten erhellt, dass sich der Ertragswert einer Immobilie nicht aus- schliesslich aus der Ist-Miete, sondern aus dem gesamten (zukünftigen) Ertragspotential einer Liegenschaft oder eben aus deren Soll-Mieten herleitet. Dies leuchtet auch ohne Weiteres ein, würde das Abstellen auf die Ist-Miete im Falle eines temporären Leerstandes von z.B. 100 % bedeuten, dass dieser Liegenschaft (in diesem Zeitpunkt) ein Vermögens-</w:t>
      </w:r>
    </w:p>
    <w:p>
      <w:r>
        <w:rPr>
          <w:b/>
        </w:rPr>
        <w:t>E. 10</w:t>
      </w:r>
    </w:p>
    <w:p>
      <w:r>
        <w:t>Urteil A 2021 25 steuerwert (Ertragswert) von Fr. 0.– beigemessen werden müsste, was zweifelsohne in den wenigsten Fällen zutreffen dürfte. Dies muss aber auch für Teil-Leerstände gelten, wie sie vorliegend von den Rekurrenten geltend gemacht werden. Hier die erzielbaren Mieter- träge (Soll-Miete) nicht miteinbeziehen zu wollen, würde im Konzept der Ertragswertbe- wertung bedeuten, dass im Bewertungszeitpunkt davon ausgegangen würde, der entspre- chende Leerstand würde quasi ewig bestehen. Dass sich eine solche Annahme vorliegend nicht rechtfertigt, wo der hier strittige Leerstand unbestrittenermassen grösstenteils mit Mietvertrag vom 11. August 2020 per 1. Januar 2021 wieder vermietet werden konnte, ist offenkundig. Aus demselben Grund vermögen auch die von den Rekurrenten vorgebrach- ten Argumente einer durch die Bauordnung 2010 veranlassten zukünftigen Unvermietbar- keit nicht zu überzeugen (act. 8, S. 3, zweiter Abschnitt). Dem Antrag der Rekurrenten den Vermögenssteuerwert (Ertragswert) auf Fr. 10'980'000.– (für alle Liegenschaftsanteile zusammen) festzulegen, kann deshalb klarerweise nicht ge- folgt werden. Dass die Rekursgegnerin den Vermögenssteuerwert (Ertragswert) des Lie- genschaftsteils E.________ auf Basis der erzielbaren Mieterträge (Soll-Mieten) berechnet hat, ist demgegenüber nicht zu beanstanden. 5.5 Der für die Ertragswertberechnung relevante Mietertrag ergibt sich somit vorlie- gend aus der Summe der tatsächlich in 2019 vereinnahmten und deklarierten Mieten (Ist- Mieten) und den den nicht vermieteten Räumlichkeiten (Leerstand) zuzuweisenden Miet- werten (Soll-Mieten). Bei Letzteren handelt es sich gestützt auf die Vorbringen der Partei- en um die Räumlichkeiten, wie sie bis Ende 2017 von der I.________ B.V. gemietet wur- den und erst ab 2021, zumindest teilweise, wieder an die J.________ AG vermietet wer- den konnten. 5.5.1 Gemäss der von den Rekurrenten mit der Replik ins Recht gelegten Aufstellung (Rek-act. 5), die von der Rekursgegnerin nicht bestritten scheint (vgl. act. 10, S. 3, 2. Ab- schnitt), betrug die zuletzt von der I.________ B.V. bezahlte Jahresmiete Fr. 478'080.–. Hiervon entfielen Fr. 365'520.– auf Räumlichkeiten, wie sie ab 2021 für Fr. 354'280.– (mit einem Discount von Fr. 22'300.– für die Periode vom 1. Juli 2021 bis 31. Dezember 2023) wieder an die J.________ AG vermietet werden konnten (Büro und Cafeteria im EG/Lager im UG; Mietvertrag vom 18. Dezember 2008, Rek-act. 4, S. 4), somit, im Vergleich zur I.________ B.V., zu einem Mindermietpreis von Fr. 11'240.– p.a. Der Mietvertrag mit der J.________ AG liefert keine Anhaltspunkte für vereinbarte Mietzinserhöhungen (ausser Anpassung an den Landesindex der Konsumentenpreise), so dass sich hier eine relevante</w:t>
      </w:r>
    </w:p>
    <w:p>
      <w:r>
        <w:rPr>
          <w:b/>
        </w:rPr>
        <w:t>E. 11</w:t>
      </w:r>
    </w:p>
    <w:p>
      <w:r>
        <w:t>Urteil A 2021 25 Soll-Miete für diese Räumlichkeiten von Fr. 354'280.– p.a. ergibt. Der Berücksichtigung dieses in Folgejahren (d.h. nach 2019) erzielten tieferen Mietzinsertrags scheint denn auch die Rekursgegnerin nicht entgegenzustehen (vgl. act. 5, S. 4, 1. Abschnitt). 5.5.2 Wie die Rekursgegnerin richtig bemerkt, gewährt der Mietvertrag der J.________ AG sodann eine Option, zusätzlich diverse Parkplätze mieten zu können. Diesen Parkplät- zen wurde im Mietvertrag, und somit von den Rekurrenten selbst, ein Mietwert von Fr. 69'280.– p.a. zugemessen, umfassend 16 Parkplätze in der Tiefgarage für Fr. 64'000.– p.a. (16 x Fr. 4'000.– p.a.) und 4 Aussenparkplätze für Fr. 5'280.– p.a. (4 x Fr. 1'320.– p.a.). Diese Referenzwerte sind leicht höher als die von der I.________ B.V. bis Ende 2017 bezahlten Mieten. Es ist daher nicht zu beanstanden, wenn die Rekursgegnerin die Soll-Mieten sämtlicher Parkplätze anhand der von der I.________ B.V. bis Ende 2017 be- zahlten Parkplatzmieten bestimmt hat. In Anlehnung an die oben erwähnte Aufstellung der Rekurrenten kommt diesen insgesamt ein Mietwert von Fr. 74'280.– p.a. zu (Fr. 3'240.– + Fr. 8'640.– + Fr. 57'120.– + Fr. 5'280.–). 5.5.3 Der erwähnten Aufstellung der Rekurrenten weiter folgend, verbleibt es bei der Bestimmung der Soll-Mieten für die zwei nach wie vor nicht vermieteten Lagerräume im 2. UG (320 m2 und 28 m2; vgl. Rek-act. 5). Die Rekursgegnerin übernahm auch hier die von der I.________ B.V. bis Ende 2017 bezahlten Mieten von Fr. 110.–/m2 p.a. (Fr. 35'200.– für 320 m2 bzw. Fr. 3'080.– für 28 m2; vgl. Rek-act. 5). Der Sachverhalt bzw. die Vorbringen der Rekurrenten ergeben keine Hinweise, dass diese Soll-Mietwerte nicht angemessen sein sollten, weshalb deren Verwendung als Referenzwerte durch die Rekursgegnerin nicht zu beanstanden ist. 5.5.4 Weiter enthält die Liegenschaftserfolgsrechnung 2019 (E.________) eine ausser- ordentliche Ertragsposition von Fr. 20'961.–, welche von der Rekursgegnerin dem zu kapi- talisierenden Mietertrag 2019 zugeschlagen wurde. Dieser ausserordentliche Ertrag bzw. dessen Berücksichtigung in der Ertragswertbewertung wird in den Rechtsschriften nicht näher thematisiert. Es erschliesst sich aus den aufgelegten Akten ferner nicht ohne Weite- res, was der zugrundeliegende Rechtsgrund dieser Ertragsposition ist. Sollte es sich dabei um einen einmaligen, ausserordentlichen Mietertrag handeln, erscheint dies dem Gericht zwar grundsätzlich nicht mit dem Konzept der Ertragswertberechnung vereinbar, werden bei dieser konzeptionell doch in Zukunft zu erwartende, regelmässig fliessende Mietzinser- träge kapitalisiert, was auf ausserordentlich erzielte Einkünfte in der Regel nicht zutrifft. Solche ausserordentliche Erträge wären für die Bestimmung des Ertragswertes konzeptio-</w:t>
      </w:r>
    </w:p>
    <w:p>
      <w:r>
        <w:rPr>
          <w:b/>
        </w:rPr>
        <w:t>E. 12</w:t>
      </w:r>
    </w:p>
    <w:p>
      <w:r>
        <w:t>Urteil A 2021 25 nell daher grundsätzlich ausser Acht zu lassen. Wie die nachfolgenden Erwägungen zei- gen, kommt dem aber letztlich im Ergebnis – selbst unter Ausklammerung dieses ausser- ordentlichen Ertrags – keine ausschlaggebende Bedeutung zu. 5.5.5 In Anlehnung an vorstehende Ausführungen liesse sich, im Sinne einer ersten Kontrollrechnung, der zu kapitalisierende Mietwert 2019 des Liegenschaftsteils E.________ (ohne den ausserordentlichen Mietertrag von Fr. 20'961.–) wie folgt berech- nen: - Effektive Mieteinnahmen gemäss Erfolgsrechnung (Ist-Miete): Fr. 332'300.– - Mietwert der per 2021 an die J.________ AG vermieteten Räumlichkeiten: Fr. 354'280.– - Mietwert nicht vermietete Parkplätze: Fr. 74'280.– - Mietwert nicht vermietetes Lager im 2. UG – 320 m2: Fr. 35'200.– - Mietwert nicht vermietetes Lager im 2. UG – 28 m2: Fr. 3'080.– - Total Mietwert 2019 Liegenschaftsteil E.________: Fr. 799'140.– Bei Anwendung des nicht bestrittenen Kapitalisierungszinssatzes von 7 % ergäbe dies zum hier relevanten Bewertungszeitpunkt (31. Dezember 2019) für den Liegenschaftsteil E.________ bei Annahme der Vollvermietung ein Ertragswert von (gerundet) Fr. 11'416'000.– (Fr. 799'140.– / 7 x 100). 5.6 Was "Leerstände" im Zusammenhang mit der Berechnung des Ertragswerts von Liegenschaften betrifft, wird zuweilen in der Fachliteratur die Meinung vertreten, dass grössere Ertragseinbussen über einen absehbaren Zeitraum, verursacht durch einen grösseren Leerstand, ebenfalls mittels Barwertmethode (diskontierter Einnahmeverlust) berechnet und beim Verkehrswert (als Ertragswert) als Verlust geldwerter Leistungen in Abzug zu bringen sind (Schweizerische Vereinigung kantonaler Grundstückbewertungs- experten [SVKG], Das Schweizerische Schätzerhandbuch, 5. Aufl. 2019, S. 296). 5.6.1 Im Sinne dieser Lehrmeinung erscheint der Leerstand im Liegenschaftsteil E.________ auf den ersten Blick grundsätzlich von potenziell bewertungstechnischer Re- levanz, immerhin entspricht er rund 58 % des totalen Mietwerts (total Mietwert von Fr. 799'140.– abzüglich effektiv in 2019 erzielte Mieterträge von Fr. 332'300.– ergibt für die in 2020 leerstehenden und erst ab 2021 [teilweise] wieder vermieteten Räumlichkeiten ei- nen Ertragsausfall von Fr. 466'840.–). In Anlehnung an den hier nicht bestrittenen Kapitali-</w:t>
      </w:r>
    </w:p>
    <w:p>
      <w:r>
        <w:rPr>
          <w:b/>
        </w:rPr>
        <w:t>E. 13</w:t>
      </w:r>
    </w:p>
    <w:p>
      <w:r>
        <w:t>Urteil A 2021 25 sierungszinssatz von 7 % ergäbe sich für den in 2020 erlittenen Einnahmeverlust zum Bewertungszeitpunkt (31. Dezember 2019) ein Barwert von Fr. 436'300.– (Fr. 466'840.– diskontiert zum Satz von 7 % für ein Jahr). Insofern erscheint es – zumindest rückblickend – nicht abwegig, dass dieser Leerstand von einem potentiellen Käufer bei der Ermittlung des Ertragswerts des Liegenschaftsteils E.________ bei einer Bewertung per Ende 2019 berücksichtigt worden wäre. Eine derarti- ge Berücksichtigung eines Einnahmeverlusts (Leerstand) basiert allerdings auf einer in die Zukunft gerichteten Betrachtungsweise, mit der Unterstellung, dass im Bewertungszeit- punkt (31. Dezember 2019) der Leerstand für ein weiteres Jahr überhaupt bekannt bzw. objektiv tatsächlich anzunehmen gewesen wäre. Für eine Liegenschaft an zentraler Lage im Raum Zug drängt sich eine solche Annahme nicht ohne Weiteres auf. Es gälte vorlie- gend zu beurteilen, ob bzw. für wie lange ein potentieller Käufer im konkreten Fall von ei- nem künftig weiterbestehenden Leerstand (Einnahmeverlust) objektiv ausgehen dürfte. Von einer generellen Unvermietbarkeit der Räumlichkeiten kann jedenfalls offenkundig nicht ausgegangen werden. Für das Scheitern des Vertragsabschlusses mit der K.________ AG im Juni 2019 scheint sodann die Höhe des von den Rekurrenten gefor- derten Mietzinses bzw. die fehlende Finanzierungsmöglichkeit der Mietinteressentin aus- schlaggebend gewesen zu sein (vgl. die unbestritten gebliebenen Ausführungen der Re- kursgegnerin im Einspracheentscheid; Rek-act. 1 S. 3; sowie die E-Mail-Korrespondenz betreffend das Angebot der K.________ AG in StV-act. 7). Wie die nachfolgenden Erwä- gungen (zweite Kontrollrechnung) zeigen, kann letztlich aber auch in diesem Punkt offen bleiben, wie es sich hiermit im konkreten Fall verhält. Es gilt sodann festzuhalten, dass es sich bei einer hierfür ("Leerstand") notwendigen Sachverhaltsabklärung und -würdigung um einen Detaillierungsgrad handelt, wie er bei der formelhaften Berechnung des Vermögenssteuerwerts (als Ertragswert) eines Ge- schäfts- oder Mehrfamilienhauses nicht grundsätzlich Teil des hier zur Anwendung gelan- genden "Massenfallrechts" sein kann, sondern nur in absoluten Ausnahmefällen gerecht- fertigt erscheint. Ein solcher Ausnahmefall kann nach Meinung des Gerichts nur vorliegen, wenn sich dies aufgrund der speziellen Umstände des Einzelfalls aufdrängt und sich zu- gleich in einem Bewertungsergebnis niederschlägt, das sich ausserhalb der einer Schät- zung immer inhärenten Streubreite befindet. Abgesehen davon bestünde zur Klärung der von den Rekurrenten geltend gemachten fehlenden Nachfrage und deren allfälligen Aus- wirkung auf den tatsächlichen Verkehrswert der Liegenschaft die gemäss Ziff. 10 der Weg-</w:t>
      </w:r>
    </w:p>
    <w:p>
      <w:r>
        <w:rPr>
          <w:b/>
        </w:rPr>
        <w:t>E. 14</w:t>
      </w:r>
    </w:p>
    <w:p>
      <w:r>
        <w:t>Urteil A 2021 25 leitung Immobilienbesteuerung vorgesehene Möglichkeit einer unabhängigen Liegen- schaftsschätzung, was von den Rekurrenten vorliegend allerdings abgelehnt wird. 5.6.2 Wollte man im Sinne der Rekurrenten dem in 2020 erlittenen Ertragsausfall (Leer- stand) – unter der hypothetischen Annahme, dass dieser noch ein Jahr bestehen bliebe – Rechnung tragen und im Betrag des Barwerts vom Ertragswert (auf Basis der Vollvermie- tung) in Abzug bringen (hier im Sinne einer zweiten Kontrollrechnung), ergäbe dies für den Liegenschafsteil E.________ für die Steuerperiode 2019 den folgenden Vermögenssteu- erwert: - Ertragswert bei Annahme der Vollvermietung (Soll-Miete): Fr. 11'416'000.– - Abzüglich Barwert des Leerstandes 2020: Fr. 436'300.– - Vermögenssteuerwert per 31. Dezember 2019: Fr. 10'979'700.– Daraus resultierte für alle drei Liegenschaftsteile zusammen (E.________, sowie die nicht bestrittenen Ertragswerte für die F.________ und H.________) folgender Vermögenssteu- erwert: - E.________: Fr. 10'979'700.– - F.________: Fr. 3'350'000.– - H.________: Fr. 2'882'000.– - Total Vermögenssteuerwert: Fr. 17'211'700.– Selbst wenn man also zugunsten der Rekurrenten einen Leerstand für ein weiteres Jahr einrechnen würde und den ausserordentlichen Mietertrag von Fr. 20'961.– ausser Acht liesse, käme man auf einen Vermögenssteuerwert von insgesamt Fr. 17'211'700.–. 5.6.3 Die Rekursgegnerin veranlagte für alle Liegenschaftsteile zusammen einen Ver- mögenssteuerwert von Fr. 18'332'000.– (vgl. Rek-act. 1), was im Vergleich zum vorste- hend ermittelten (für die Rekurrenten bestmöglichen) Wert von Fr. 17'211'700.– einer Be- wertungsdifferenz von Fr. 1'120'300.– oder gerundet 6 % bzw. 7 % entspricht (je nach- dem, welchen Wert man als Basiswert heranzieht). Für den Liegenschaftsanteil E.________ isoliert betrachtet läge diese Bewertungsdifferenz bei 9 % bzw. 10 %. Bewer- tungsdifferenzen in der Grössenordnung von 10 % gilt es indes nach Ansicht des Gerichts beim hier zur Anwendung gelangenden "Massenfallrecht" eindeutig hinzunehmen.</w:t>
      </w:r>
    </w:p>
    <w:p>
      <w:r>
        <w:rPr>
          <w:b/>
        </w:rPr>
        <w:t>E. 15</w:t>
      </w:r>
    </w:p>
    <w:p>
      <w:r>
        <w:t>Urteil A 2021 25 Die Verkehrswertbewertung der Rekursgegnerin ist im Ergebnis somit nicht zu beanstan- den. Der Ertragswert wurde im Sinne von § 42 StG angemessen berücksichtigt. Jedenfalls kann beim vorliegend veranlagten Vermögenssteuerwert von Fr. 18'332'000.– nicht von einem unsachgerechten oder gar unrealistischen Ergebnis gesprochen werden. 6. Zusammenfassend erweist sich der Rekurs als unbegründet und ist dementspre- chend abzuweisen. Weiterungen zum Eventualantrag der Rekursgegnerin erübrigen sich damit. 7.</w:t>
      </w:r>
    </w:p>
    <w:p>
      <w:r>
        <w:rPr>
          <w:b/>
        </w:rPr>
        <w:t>E. 16</w:t>
      </w:r>
    </w:p>
    <w:p>
      <w:r>
        <w:t>Urteil A 2021 25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