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59 vom 20. Januar 2025</w:t>
      </w:r>
    </w:p>
    <w:p>
      <w:r>
        <w:t>ZG Obergericht, 2025-01-20, DE</w:t>
      </w:r>
    </w:p>
    <w:p>
      <w:r>
        <w:rPr>
          <w:b/>
        </w:rPr>
        <w:t xml:space="preserve">Quelle: </w:t>
      </w:r>
      <w:r>
        <w:t>https://mcp.opencaselaw.ch/entscheid/zg_obergericht_Z2_2024_59</w:t>
      </w:r>
    </w:p>
    <w:p>
      <w:r>
        <w:t>FR: ZG_OBERGERICHT Z2 2024 59 du 20 janvier 2025</w:t>
      </w:r>
    </w:p>
    <w:p>
      <w:r>
        <w:t>IT: ZG_OBERGERICHT Z2 2024 59 del 20 gennaio 2025</w:t>
      </w:r>
    </w:p>
    <w:p>
      <w:pPr>
        <w:pStyle w:val="Heading2"/>
      </w:pPr>
      <w:r>
        <w:t>Regeste</w:t>
      </w:r>
    </w:p>
    <w:p>
      <w:r>
        <w:t>unlauteren Wettbewerb, Forderung aus Arbeitsvertrag (vorsorgliche Massnahmen) | Unlauterer Wettbewerb</w:t>
      </w:r>
    </w:p>
    <w:p>
      <w:pPr>
        <w:pStyle w:val="Heading2"/>
      </w:pPr>
      <w:r>
        <w:t>Erwägungen</w:t>
      </w:r>
    </w:p>
    <w:p>
      <w:r>
        <w:rPr>
          <w:b/>
        </w:rPr>
        <w:t>E. 1</w:t>
      </w:r>
    </w:p>
    <w:p>
      <w:r>
        <w:t>Die Gesuchstellerin hat ihren Sitz im Kanton Uri, während sämtliche Gesuchsgegner ihren Wohnsitz bzw. ihren Sitz im Kanton Zug haben. Die Gesuchstellerin stützt ihr Gesuch auf Art. 5 lit. a und Art. 6 UWG (Lauterkeitsrecht) und im Falle des Gesuchsgegners 1 zusätzlich auf Art. 321a Abs. 4 OR (Arbeitsrecht). Der Streitwert beträgt CHF 100'000.00 (dazu hinten E. 6.2). Da lauterkeitsrechtliche Streitigkeiten zu den Klagen aus unerlaubter Handlung zählen (Hempel, Basler Kommentar, 4. A. 2024, Art. 36 ZPO N 7), sind die Zuger Gerichte</w:t>
      </w:r>
    </w:p>
    <w:p>
      <w:r>
        <w:t>Seite 5/10 gestützt auf Art. 36 ZPO (Gerichtsstand am Wohnsitz oder Sitz der beklagten Partei für Kla- gen aus unerlaubter Handlung) unbestrittenermassen örtlich zuständig. Die sachliche Zu- ständigkeit des Einzelrichters am Obergericht Zug ergibt sich aus Art. 5 Abs. 1 lit. d ZPO (Streitigkeiten nach dem UWG, sofern der Streitwert mehr als CHF 30'000.00 beträgt) i.V.m. § 19 Abs. 1 lit. a GOG sowie Art. 5 Abs. 2 ZPO (Anordnung vorsorglicher Massnahmen vor Eintritt der Rechtshängigkeit einer Klage) i.V.m. § 23 Abs. 3 GOG. Aufgrund des hier vorlie- genden Zusammenhangs zwischen den zwei geltend gemachten Anspruchsgrundlagen (UWG und OR) ist das angerufene Gericht auch für die Beurteilung der Ansprüche aus Art. 321a Abs. 4 OR zuständig (vgl. Art. 15 Abs. 2 ZPO; Urteil des Bundesgerichts 4A_478/2011 vom 30. November 2011 E. 1.2).</w:t>
      </w:r>
    </w:p>
    <w:p>
      <w:r>
        <w:rPr>
          <w:b/>
        </w:rPr>
        <w:t>E. 2</w:t>
      </w:r>
    </w:p>
    <w:p>
      <w:r>
        <w:t>Gemäss Art. 261 ZPO trifft das Gericht die notwendigen vorsorglichen Massnahmen, wenn die gesuchstellende Partei glaubhaft macht, dass ein ihr zustehender Anspruch verletzt ist oder eine Verletzung zu befürchten ist (sog. Verfügungsanspruch; lit. a) und ihr aus der Ver- letzung ein nicht leicht wieder gutzumachender Nachteil droht (sog. Verfügungsgrund; lit. b). Auch wenn nicht ausdrücklich genannt, gehört die zeitliche Dringlichkeit zum Vorausset- zungskatalog für vorsorgliche Massnahmen und die angeordneten Massnahmen müssen verhältnismässig sein. Mithin müssen sie geeignet und erforderlich sein, um den befürchteten Nachteil zu verhindern (Huber, in: Sutter-Somm/Hasenböhler/Leuenberger [Hrsg.], Kommen- tar zur Schweizerischen Zivilprozessordnung, 3. A. 2016, Art. 261 ZPO N 18 und 20 ff.; Kof- mel Ehrenzeller, in: Oberhammer/Domej/Haas [Hrsg.], Schweizerische Zivilprozessordnung,</w:t>
      </w:r>
    </w:p>
    <w:p>
      <w:r>
        <w:rPr>
          <w:b/>
        </w:rPr>
        <w:t>E. 3</w:t>
      </w:r>
    </w:p>
    <w:p>
      <w:r>
        <w:t>A. 2021, Art. 261 ZPO N 4 ff.; Güngerich, Berner Kommentar, 2012, Art. 262 ZPO N 2 ff.). Die vorsorglichen Massnahmen sollen den Hauptsachenprozess nicht präjudizieren und kei- nen Zustand schaffen, der nicht mehr rückgängig gemacht werden kann (Güngerich, a.a.O., Art. 262 ZPO N 4). Ob eine Verletzung zu befürchten ist, ist nach objektiven Kriterien zu beurteilen. Eine Bege- hungs- bzw. Wiederholungsgefahr liegt vor, wenn sich die Hinweise auf eine bevorstehende Verletzung derart verdichtet haben, dass die Verletzung als unmittelbar drohend erscheint. Dabei genügt eine rein abstrakte oder hypothetische Möglichkeit der Begehung oder Wieder- holung nicht (vgl. Honegger-Müntener, in: Droese [Hrsg.], Onlinekommentar [abrufbar unter: onlinekommentar.ch], Vorb. zu Art. 261-269 ZPO und Art. 261 ZPO N 9; von Aarburg, Vor- sorgliche Massnahmen nach der Schweizerischen Zivilprozessordnung, 2023, N 44; je m.H.). Die gesuchstellende Partei muss sowohl das Bestehen ihres materiellrechtlichen Anspruchs, dessen Gefährdung oder Verletzung als auch den drohenden, nicht leicht wieder gutzuma- chenden Nachteil sowie die zeitliche Dringlichkeit glaubhaft machen. Glaubhaftmachen ist mehr als behaupten. Ein strikter Beweis ist nicht erforderlich. Glaubhaftmachen bedeutet, dass eine gewisse Wahrscheinlichkeit für das Vorhandensein der Voraussetzungen spricht. Eine überwiegende Wahrscheinlichkeit ist aber nicht gefordert (Sprecher, Basler Kommentar,</w:t>
      </w:r>
    </w:p>
    <w:p>
      <w:r>
        <w:rPr>
          <w:b/>
        </w:rPr>
        <w:t>E. 4</w:t>
      </w:r>
    </w:p>
    <w:p>
      <w:r>
        <w:t>Die Gesuchstellerin behauptet zwar, der Gesuchsgegner 1 könne über die Daten noch ver- fügen und diese den Gesuchsgegnern 2 und 3 jederzeit wieder zugänglich machen (act. 9 Rz 17). Dies trifft theoretisch zu. Doch allein der Umstand, dass der Gesuchsgegner dies kann, begründet noch keine unmittelbar drohende Wiederholungs- bzw. Begehungsgefahr. Zwar erwies sich die – zumindest sinngemäss abgegebene – Behauptung des Gesuchsgeg- ners 1, er habe keine Kundendaten von der Gesuchstellerin mitgenommen, in Anbetracht der Löschung der von ihm ins System "t.________" eingespeisten 20'812 Kundendaten als unwahr. Trotzdem bestehen keine Anzeichen, dass der Gesuchsgegner 1 diese Daten, die er mutmasslich unrechtmässig besass oder besitzt (vgl. hinten E. 6.1.2), erneut in das von der Gesuchsgegnerin 3 verwendete System "t.________" einspeisen und für die Bewerbung der ________-projekte der Gesuchsgegnerin 3 verwenden wird. Dies gilt unabhängig davon, ob eine vertragliche Verbindung zwischen dem Gesuchsgegner 1 einerseits und den Gesuchs- gegnern 2 und 3 andererseits bestand oder besteht. Bei objektiver Betrachtung ist sodann auch nicht davon auszugehen, dass die Gesuchsgegner 2 und 3 diese Daten aus einem Backup wiederherstellen und verwenden werden. Anhaltspunkte hierzu liegen keine vor.</w:t>
      </w:r>
    </w:p>
    <w:p>
      <w:r>
        <w:rPr>
          <w:b/>
        </w:rPr>
        <w:t>E. 5</w:t>
      </w:r>
    </w:p>
    <w:p>
      <w:r>
        <w:t>Damit vorsorgliche Massnahmen nach Art. 261 ff. ZPO angeordnet werden können, müssen die Voraussetzungen im Zeitpunkt des Urteils gegeben sein. Vorliegend ist aktuell der Ver- fügungsanspruch (Begehungs- oder Wiederholungsgefahr) nicht gegeben. Das Gesuch um Anordnung vorsorglicher Massnahmen ist daher vollumfänglich abzuweisen und die mit Prä- sidialverfügung vom 16. September 2024 auferlegten Verbote sind aufzuheben.</w:t>
      </w:r>
    </w:p>
    <w:p>
      <w:r>
        <w:rPr>
          <w:b/>
        </w:rPr>
        <w:t>E. 6</w:t>
      </w:r>
    </w:p>
    <w:p>
      <w:r>
        <w:t>Zu entscheiden bleibt über die Prozesskosten.</w:t>
      </w:r>
    </w:p>
    <w:p>
      <w:r>
        <w:rPr>
          <w:b/>
        </w:rPr>
        <w:t>E. 6.1</w:t>
      </w:r>
    </w:p>
    <w:p>
      <w:r>
        <w:t>Als Erstes ist darüber zu befinden, wem die Prozesskosten aufzuerlegen sind.</w:t>
      </w:r>
    </w:p>
    <w:p>
      <w:r>
        <w:rPr>
          <w:b/>
        </w:rPr>
        <w:t>E. 6.1.1</w:t>
      </w:r>
    </w:p>
    <w:p>
      <w:r>
        <w:t>Beim vorliegenden Ausgang des Verfahrens wären die Prozesskosten nach dem Grundsatz von Art. 106 Abs. 1 ZPO der Gesuchstellerin aufzuerlegen. Gemäss Art. 107 ZPO kann das Gericht allerdings von diesem Verteilungsgrundsatz abweichen und die Prozesskosten nach Ermessen verteilen, etwa wenn eine Partei in guten Treuen zur Prozessführung veranlasst</w:t>
      </w:r>
    </w:p>
    <w:p>
      <w:r>
        <w:t>Seite 7/10 war (lit. b), wenn das Verfahren als gegenstandslos abgeschrieben wird und das Gesetz nichts anderes vorsieht (lit. e) oder wenn andere besondere Umstände vorliegen, die eine Verteilung nach dem Ausgang des Verfahrens als unbillig erscheinen lassen (lit. f). Eine Pro- zessführung in guten Treuen kann angenommen werden, wenn die obsiegende Partei durch ihr vorprozessuales Verhalten die Einleitung eines Verfahrens mitveranlasst hat, das hätte vermieden werden können (Urteil des Bundesgerichts 4A_17/2017 vom 7. September 2017 E. 4.1). Bei der ermessensweisen Kostenverteilung ist je nach Lage des Einzelfalls unter an- derem zu berücksichtigen, welche Partei Anlass zum Verfahren gegeben hat und welches der mutmassliche Prozessausgang gewesen wäre. Der mutmassliche Prozessausgang ist bloss summarisch zu prüfen; es soll nicht auf dem Umweg des Kostenentscheids ein materi- elles Urteil gefällt werden (Urteil des Bundesgerichts 9C_464/2016 vom 19. Oktober 2016 E. 7.2).</w:t>
      </w:r>
    </w:p>
    <w:p>
      <w:r>
        <w:rPr>
          <w:b/>
        </w:rPr>
        <w:t>E. 6.1.2</w:t>
      </w:r>
    </w:p>
    <w:p>
      <w:r>
        <w:t>Vorliegend stellte sich heraus, dass der Gesuchsgegner 1 im Besitz von 20'821 Kontakten (samt Adressen, Telefonnummern und E-Mail-Adressen) war (oder ist) und es sich bei die- sen Kontakten zumindest grossmehrheitlich um Kunden oder Kaufinteressenten der Gesuch- stellerin handelt (act. 7/3-4). Eine andere Herkunft (als jene von der Gesuchstellerin) hat der Gesuchsgegner 1 höchstens bezüglich eines Bruchteils dieser Kontakte plausibilisiert (vgl. act. 5 Rz 38 ff.). Es handelt sich mithin um eine Kontaktliste der Gesuchstellerin. Ferner ist glaubhaft, dass an einige dieser 20'821 Kontakte im August und September 2024 Newsletter gemailt wurden, die den Gesuchsgegnern 2 und 3 zuzuordnen sind (vgl. act. 1/13-14). So- dann ist aktenkundig, dass sich alle Gesuchsgegner – unabhängig davon, ob sie die von der Gesuchstellerin verlangte Bestätigungs- und Unterlassungserklärung unterschreiben wollten oder nicht – mit Bezug auf die vom Gesuchsgegner 1 mitgenommenen Kontaktdaten vorpro- zessual nicht einsichtig zeigten und Vorwürfe, die sich im Nachhinein als berechtigt erwiesen haben, entschieden zurückwiesen (vgl. act. 1/15 und act. 1/43). Erst nach Einleitung des vor- liegenden Prozesses liess die Gesuchsgegnerin 3 die Daten des Gesuchsgegners 1 im "t.________" löschen. Mithin wusste die Gesuchstellerin vor Einleitung des Prozesses nicht, wo ihre Kontaktliste verblieben ist und wie diese (weiter) verwendet wird. Entsprechend war sie in guten Treuen veranlasst, das Massnahmegesuch einzureichen. Die Gesuchsgegner signalisierten zwar vorprozessual pauschal Verhandlungsbereitschaft, unterbreiteten aber – soweit ersichtlich – keine konkreten Angebote und wiesen, wie erwähnt, berechtigte Vorwürfe sogar entschieden zurück. Deshalb war der Gesuchstellerin nicht zumutbar zuzuwarten, bis eine vergleichsweise Lösung gefunden werden konnte.</w:t>
      </w:r>
    </w:p>
    <w:p>
      <w:r>
        <w:rPr>
          <w:b/>
        </w:rPr>
        <w:t>E. 6.1.3</w:t>
      </w:r>
    </w:p>
    <w:p>
      <w:r>
        <w:t>Das Gesuch der Gesuchstellerin war sodann mutmasslich teilweise erfolgversprechend. Der Gesuchsgegner 1 verwertete Daten, auf die er während des Arbeitsverhältnisses mit der Ge- suchstellerin zwar zugreifen durfte, die aber nicht von ihm aufgebaut wurden und die er nach Beendigung des Arbeitsverhältnisses auch nicht hätte mitnehmen dürfen (vgl. Art. 339a Abs. 1 OR; BGE 141 III 23 E. 3.1; Urteil des Bundesgerichts 4A_611/2011 vom 3. Januar 2012 E. 4.3). Davon profitierten (auch) die Gesuchsgegner 2 und 3. Ins Gewicht fällt im vorliegen- den Fall insbesondere die immense Menge an Daten und das systematische Vorgehen. Das Verhalten des Gesuchsgegners 1 ist bei summarischer Prüfung mutmasslich gemäss Art. 6 UWG oder – sofern es sich bei diesen Daten nicht um Geschäftsgeheimnisse handelt – gemäss Art. 2 oder Art. 4 UWG unlauter (vgl. Kaiser/Noth in: Streuli-Youssef [Hrsg.], Schwei- zerisches Immaterialgüter- und Wettbewerbsrecht [SIWR], Band V/1, 3. A. 2020, 4. Kapitel N 243; Fischer, in: Heizmann/Loacker [Hrsg.], Bundesgesetz gegen den unlauteren Wett-</w:t>
      </w:r>
    </w:p>
    <w:p>
      <w:r>
        <w:t>Seite 8/10 bewerb, 2018, Art. 4 N 60 in fine; David/Jacobs, Schweizerisches Wettbewerbsrecht, 5. A. 2012, N 56 f.; Urteil des Bundesgerichtshofs I ZR 126/03 vom 27. April 2006 E. II.3a). Nebst dem Verfügungsanspruch wären auch die übrigen Voraussetzungen für die Anordnung der verlangten Massnahmen wahrscheinlich erfüllt gewesen, so nebst der zeitlichen Dringlichkeit und der Verhältnismässigkeit auch der nicht leicht wiedergutzumachende Nachteil (Verfü- gungsgrund) in Form eines Reputationsschadens, der beim Versand weiterer Newsletter entstanden wäre. Die Gesuchsgegner 2 und 3 mussten spätestens nach Erhalt des Abmahnungsschreibens der Gesuchstellerin vom 5. September 2024 davon ausgehen, dass sie (über das "t.________") im Besitz unrechtmässig erlangter Daten sein könnten. Dass die Gesuchsgeg- nerin 3 zu keinem Zeitpunkt Verfügungsmacht über die Daten gehabt haben soll (vgl. act. 7 Rz 12), ist wenig glaubwürdig, konnte sie doch die Löschung dieser Daten veranlassen. Ent- sprechend hätten auch die Gesuchsgegner 2 und 3 sich mutmasslich unlauter verhalten, wenn sie diese Daten weiterhin verwendet hätten oder hätten verwenden lassen. Allerdings ist zu ihren Gunsten zu berücksichtigen, dass die Gesuchstellerin nicht bereits im Gesuch, sondern erst in der Replik (act. 9 Rz 14) und damit verspätet behauptete, angesichts der ho- hen Anzahl von beinahe 21'000 Kontakten sei davon auszugehen, dass der Gesuchsgeg- ner 2 Kenntnis von der unrechtmässigen Beschaffung der Kundendaten gehabt habe. Dass es sich bei der neuen Behauptung um ein zulässiges Novum nach Art. 229 Abs. 1 ZPO han- delt, macht die Gesuchstellerin nicht geltend. Deshalb hätte diese Behauptung wahrschein- lich nicht berücksichtigt werden können (vgl. BGE 146 III 237 E. 3.1; 144 III 117 E. 2.1). Ent- sprechend wäre der Nachweis eines unlauteren Verhaltens der Gesuchsgegnern 2 und 3 wohl gescheitert. Mutmasslich wäre somit das Gesuch gegenüber dem Gesuchsgegner 1 gutzuheissen, ge- genüber den Gesuchsgegnern 2 und 3 aber abzuweisen gewesen.</w:t>
      </w:r>
    </w:p>
    <w:p>
      <w:r>
        <w:rPr>
          <w:b/>
        </w:rPr>
        <w:t>E. 6.1.4</w:t>
      </w:r>
    </w:p>
    <w:p>
      <w:r>
        <w:t>Veranlasst haben das Verfahren nach dem Gesagten alle Gesuchsgegner. Unterlegen wäre mutmasslich nur der Gesuchsgegner 1, nicht aber die Gesuchsgegner 2 und 3. Dieser mut- massliche Prozessausgang ist vorliegend zu berücksichtigen, obwohl das Verfahren nicht gegenstandslos wurde, ist doch der Prozessausgang, was die Kostenfolgen betrifft, mit der Gegenstandslosigkeit vergleichbar (vgl. auch Honegger-Müntener, a.a.O., Vorb. zu Art. 261- 269 ZPO und Art. 261 ZPO N 12, wonach das Verhalten eines Gesuchsgegners, das zum Wegfall der Begehungs- oder Wiederholungsgefahr und damit zur Abweisung des Massnah- megesuchs führt, bei der Kostenverteilung berücksichtigt werden kann). Würde aber für die Kostenverteilung ausschliesslich der mutmassliche Verfahrensausgang berücksichtigt, würde wiederum nicht gebührend berücksichtigt, dass die Gesuchsgegner 2 und 3 vom Versand der Newsletter aufgrund der Bewerbung des Projekts der Gesuchsgegnerin 3 profitiert haben. Folglich ist auch massgeblich, wer das Verfahren veranlasst hat. Insgesamt ist es deshalb gerechtfertigt, wenn die Gerichtskosten vollständig dem Gesuchsgegner 1 auferlegt werden und jede Partei ihre Parteikosten selbst trägt. Die Wettschlagung der Parteikosten ist auch insofern angemessen, als gemäss mutmasslichem Ausgang des Verfahrens der Gesuchs- gegner 1 der Gesuchstellerin eine Entschädigung bezahlen, diese aber wiederum den Ge- suchsgegnern 2 und 3 eine Entschädigung ausrichten müsste. Rechnerisch würde dies einer Zahlungspflicht des Gesuchsgegners 1 gegenüber den Gesuchsgegnern 2 und 3 entspre-</w:t>
      </w:r>
    </w:p>
    <w:p>
      <w:r>
        <w:t>Seite 9/10 chen; von einer solchen Zahlungspflicht ist aber abzusehen, da die Gesuchsgegner 2 und 3 dies nicht beantragt und sie vom Versand der Newsletter (auch) profitiert haben.</w:t>
      </w:r>
    </w:p>
    <w:p>
      <w:r>
        <w:rPr>
          <w:b/>
        </w:rPr>
        <w:t>E. 6.2</w:t>
      </w:r>
    </w:p>
    <w:p>
      <w:r>
        <w:t>Abschliessend sind die Gerichtskosten festzulegen. Diese richten sich nach dem Streitwert, den die Gesuchstellerin mit CHF 100'000.00 beziffert (act. 1 Rz 3). Diesen Wert bestreiten die Gesuchsgegner 2 und 3 (act. 7 Rz 10). Bei der Bestimmung des Streitwerts ist in der Re- gel auf das Interesse der Gesuchstellerin an der Unterlassung gewisser Handlungen durch die Gesuchsgegner abzustellen (vgl. Sterchi, Berner Kommentar, 2012, Art. 91 ZPO N 21a). Es erscheint vorliegend plausibel, dass sich der Schaden, falls ________-verkäufe nicht zustan- de kommen, auf CHF 100'000.00 oder mehr belaufen kann. Mithin ist von einem Streitwert in dieser Höhe auszugehen. Bei diesem Wert beträgt die Entscheidgebühr CHF 6'000.00 (§ 11 Abs. 1 KoV OG). In summarischen Verfahren ist diese Gebühr auf einen Drittel bis drei Vier- tel herabzusetzen (§ 12 Abs. 1 KoV OG). Vorliegend ist die Entscheidgebühr ermessenswei- se auf CHF 3'000.00 festzusetzen. Die Liquidation der Gerichtskosten richtet sich nach dem (alten) aArt. 111 Abs. 1 und 2 ZPO (vgl. Art. 407f ZPO).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