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57 vom 26. September 2024</w:t>
      </w:r>
    </w:p>
    <w:p>
      <w:r>
        <w:t>ZG Obergericht, 2024-09-26, DE</w:t>
      </w:r>
    </w:p>
    <w:p>
      <w:r>
        <w:rPr>
          <w:b/>
        </w:rPr>
        <w:t xml:space="preserve">Quelle: </w:t>
      </w:r>
      <w:r>
        <w:t>https://mcp.opencaselaw.ch/entscheid/zg_obergericht_Z2_2024_57</w:t>
      </w:r>
    </w:p>
    <w:p>
      <w:r>
        <w:t>FR: ZG_OBERGERICHT Z2 2024 57 du 26 septembre 2024</w:t>
      </w:r>
    </w:p>
    <w:p>
      <w:r>
        <w:t>IT: ZG_OBERGERICHT Z2 2024 57 del 26 settembre 2024</w:t>
      </w:r>
    </w:p>
    <w:p>
      <w:pPr>
        <w:pStyle w:val="Heading2"/>
      </w:pPr>
      <w:r>
        <w:t>Regeste</w:t>
      </w:r>
    </w:p>
    <w:p>
      <w:r>
        <w:t>Wiederherstellung der Berufungsfrist (Entscheid des Einzelrichters am Kantonsgericht Zug vom 23. Juli 2024) | übriges Gesellschafts/Handelsr</w:t>
      </w:r>
    </w:p>
    <w:p>
      <w:pPr>
        <w:pStyle w:val="Heading2"/>
      </w:pPr>
      <w:r>
        <w:t>Erwägungen</w:t>
      </w:r>
    </w:p>
    <w:p>
      <w:r>
        <w:rPr>
          <w:b/>
        </w:rPr>
        <w:t>E. 1</w:t>
      </w:r>
    </w:p>
    <w:p>
      <w:r>
        <w:t>Vorab ist festzuhalten, dass der Gesuchstellerin – wie sie selbst ausführt (vgl. act. 1 Rz 3) – der Entscheid des Einzelrichters am Kantonsgericht Zug vom 23. Juli 2023 am 25. Juli 2024 mittels Publikation im Amtsblatt des Kantons Zug gültig zugestellt wurde. Die 10-tägige Beru- fungsfrist (Art. 314 Abs. 1 ZPO) lief folglich am 2. August 2024 ab.</w:t>
      </w:r>
    </w:p>
    <w:p>
      <w:r>
        <w:rPr>
          <w:b/>
        </w:rPr>
        <w:t>E. 2</w:t>
      </w:r>
    </w:p>
    <w:p>
      <w:r>
        <w:t>Es ist daher zu prüfen, ob ein Grund für die Wiederherstellung der Berufungsfrist besteht.</w:t>
      </w:r>
    </w:p>
    <w:p>
      <w:r>
        <w:rPr>
          <w:b/>
        </w:rPr>
        <w:t>E. 2.1</w:t>
      </w:r>
    </w:p>
    <w:p>
      <w:r>
        <w:t>Die Gesuchstellerin macht zur Begründung ihres Gesuchs geltend, C.________, ihr einziger Verwaltungsrat, habe sich im Herbst 2023 dazu entschieden, mit seinem Sohn D.________ im Frühjahr 2024 nach E.________ (Land) zu ziehen, um diesen aus dem Umfeld in Zug herauszunehmen. Hintergrund sei gewesen, dass D.________ erstmals im Mai 2023 mit den Zuger Strafbehörden in Kontakt gekommen sowie am 15. Dezember 2023 wegen mehrfacher Übertretung des Betäubungsmittelgesetzes verurteilt und zu einer persönlichen Leistung von fünf Tagen verpflichtet worden sei. C.________ sei bewusst gewesen, dass er trotz seiner regelmässigen Auslandsabwesenheiten (insbesondere auf E.________) habe darum bemüht sein müssen, dass sie (die Gesuchstellerin) an ihrem Sitz erreichbar sei. Er habe daher be- reits im Dezember 2023 F.________ damit beauftragt, sich während seiner Auslandsabwe- senheit um die Korrespondenz zu kümmern. Leider sei F.________ – wie sich nun heraus- gestellt habe – dieser Aufgabe erst nur ungenügend und ab März 2024 gar nicht mehr nach- gekommen, was C.________ aufgrund seiner verschiedenen Auslandsabwesenheiten und seines Aufenthalts in E.________ ab Mitte März 2024 nicht mitbekommen habe. F.________ habe am 21. Dezember 2023 C.________ zwar ein Foto einer Abholungseinladung gesen- det. Das entsprechende Schreiben habe sie dann aber nicht abgeholt und an C.________ weitergeleitet. In Anbetracht des Umstands, dass die Aktivitäten der Gesuchstellerin seit dem August 2022 geruht hätten, habe C.________ die ab Dezember 2023 spärliche und ab März 2024 gänzlich fehlende Korrespondenz denn auch nicht stutzig gemacht. Aufgrund der Ab- reise nach E.________ Mitte März 2024 und der mangelnden Aufgabenerfüllung von F.________ habe C.________ das Schreiben des Kantonsgerichts Zug vom 18. März 2024, mit welchem der Gesuchstellerin die Eingabe des Handelsregisteramts Zug vom 11. März 2024 betreffend Massnahmen zur Beseitigung eines Organisationsmangels zugestellt wor- den sei, nicht erreicht. Erst am 29. August 2024 habe er von einem Geschäftskollegen erfah- ren, dass die Gesuchstellerin "in Liquidation" gesetzt worden sei (act. 1 Rz 8 ff.).</w:t>
      </w:r>
    </w:p>
    <w:p>
      <w:r>
        <w:rPr>
          <w:b/>
        </w:rPr>
        <w:t>E. 2.2</w:t>
      </w:r>
    </w:p>
    <w:p>
      <w:r>
        <w:t>Nach Art. 148 ZPO kann das Gericht auf Gesuch einer säumigen Partei eine Nachfrist ge- 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verlangt werden (Abs. 3).</w:t>
      </w:r>
    </w:p>
    <w:p>
      <w:r>
        <w:rPr>
          <w:b/>
        </w:rPr>
        <w:t>E. 2.2.1</w:t>
      </w:r>
    </w:p>
    <w:p>
      <w:r>
        <w:t>Eine Wiederherstellung ist nur möglich, wenn die Wahrung einer Frist oder eines gerichtli- 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w:t>
      </w:r>
    </w:p>
    <w:p>
      <w:r>
        <w:t>Seite 4/6 Abs. 4 SchKG. Die Zulassung der Wiederherstellung bei leichtem Verschulden ist sachlich gerechtfertigt, zumal Versagen menschlich ist und nicht zu unverhältnismässig grossen Nachteilen führen sollte. Die Unterscheidung zwischen grobem und leichtem Verschulden ist gradueller Art und lässt sich nur aufgrund der konkreten Umstände des Einzelfalls beurteilen, wobei das Gericht über einen erheblichen Ermessensspielraum verfügt. Sobald es für den Betroffenen objektiv und subjektiv zumutbar wird, selbst tätig zu werden oder die Interessen- wahrung an einen Dritten zu übertragen, liegt kein die Wiederherstellung rechtfertigendes Hindernis mehr vor (Gozzi, Basler Kommentar, 3. A. 2017, Art. 148 ZPO N 9 ff. mit Hinwei- sen; Urteil des Bundesgerichts 5A_94/2015 vom 6. August 2015 E. 6.1 ff.).</w:t>
      </w:r>
    </w:p>
    <w:p>
      <w:r>
        <w:rPr>
          <w:b/>
        </w:rPr>
        <w:t>E. 2.2.2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Wahrscheinlichkeit der in Frage kommenden Tatsachen vermitteln, ohne dass es dabei den Vorbehalt preis- geben müsste, dass die Verhältnisse sich auch anders gestalten könnten (Gozzi, a.a.O., Art. 148 ZPO N 38 f.; Merz, in: Brunner/Gasser/Schwander [Hrsg.], Schweizerische Zivil- prozessordnung, 2. A. 2016, Art. 148 ZPO N 27 f.; Guyan, Basler Kommentar, 3. A. 2017, Art. 157 ZPO N 10 mit weiteren Hinweisen).</w:t>
      </w:r>
    </w:p>
    <w:p>
      <w:r>
        <w:rPr>
          <w:b/>
        </w:rPr>
        <w:t>E. 2.3</w:t>
      </w:r>
    </w:p>
    <w:p>
      <w:r>
        <w:t>Die Gesuchstellerin hat ihr Wiederherstellungsgesuch am 5. September 2024 gestellt und behauptet, C.________ habe erst am 29. August 2024 aufgrund einer Mitteilung eines Ge- schäftskollegen vom Entscheid des Einzelrichters am Kantonsgericht Zug vom 23. Juli 2024 erfahren. Zwar reicht sie dazu keine Belege ein, sondern belässt es bei der blossen Behaup- tung, was grundsätzlich nicht genügt, um diesen für die Frage der Fristwahrung gemäss Art. 148 Abs. 2 ZPO massgebenden Umstand glaubhaft zu machen. Zu beachten ist aller- dings, dass C.________ sich am 29. August 2024 mit einer E-Mail sowie einem persönlich überbrachten Schreiben an die Vorinstanz gewandt sowie ebenfalls am 29. August 2024 na- mens der Gesuchstellerin einen Rechtsanwalt mit deren Interessenwahrung beauftragt hat (act. 1/5-6). Dies ist immerhin ein Indiz dafür, dass die Darstellung der Gesuchstellerin zu- trifft. Anhaltspunkte, wonach mit einer Reaktion zugewartet worden wäre, sind nicht ersicht- lich. Angesichts dieser Umstände ist glaubhaft, dass die 10-tägige Frist von Art. 148 Abs. 2 ZPO eingehalten worden ist.</w:t>
      </w:r>
    </w:p>
    <w:p>
      <w:r>
        <w:rPr>
          <w:b/>
        </w:rPr>
        <w:t>E. 2.4</w:t>
      </w:r>
    </w:p>
    <w:p>
      <w:r>
        <w:t>Zu prüfen bleibt, ob die Gesuchstellerin kein oder nur ein leichtes Verschulden an der Säum- nis trifft. Grundsätzlich obliegt es dem Verwaltungsrat, sich aktiv um die Geschäfte der Ge- sellschaft zu kümmern. C.________ war sich dieser Verantwortung offenbar bewusst, betrau- te er doch F.________ im Dezember 2023 aufgrund seiner Auslandsabwesenheiten und des Aufenthalts auf E.________ (Land), sich um die Korrespondenz der Gesuchstellerin zu kümmern. Aktenkundig ist, dass C.________ während seiner Abwesenheit von F.________ über den Eingang von Postsendungen für die Gesuchstellerin informiert wurde (act. 1/16). Offenbar kümmerte sie sich um die Post. Es ist deshalb glaubhaft, dass er sie genug sorgfäl- tig ausgewählt und instruiert hat. Möglich ist aber, dass er ihre Aufgabenerfüllung nicht sorg- fältig genug überwacht hat. Denn F.________ informierte C.________, dass eine Abho-</w:t>
      </w:r>
    </w:p>
    <w:p>
      <w:r>
        <w:t>Seite 5/6 lungseinladung von der Post im Briefkasten hinterlegt wurde. Wegen seiner Auslandsabwe- senheiten konnte er keine Sendungen bei der Post abholen. Deshalb durfte er davon ausge- hen, dass F.________ dies tut, was diese jedoch mit Bezug auf das Organisationsmängel- verfahren offenbar unterliess. C.________ wiederum unterliess es, bei F.________ nachzu- fragen, um was für ein Schreiben es sich gehandelt hatte. Hätte er dies getan, hätte er fest- stellen können, dass F.________ ihrer Aufgabe nicht ordnungsgemäss nachkam. Ein solcher Fehler (in der Postweiterleitung bzw. deren Überwachung) darf sich nicht wiederholen. An der Tatsache, dass die Gesuchstellerin vom Entscheid des Einzelrichters vom 23. Juli 2024 erst aufgrund der Mitteilung eines Dritten am 29. August 2024, mithin erst nach Ablauf der Berufungsfrist, Kenntnis erhalten hat, trifft die Gesuchstellerin ein Verschulden. Aufgrund der gesamten Umstände und bei grosszügiger Betrachtungsweise kann dieses Verschulden al- lerdings noch als leicht eingestuft werden. Nachdem sie Kenntnis erhalten hatte, bemühte sie sich innert Frist um die Abwendung der konkursamtlichen Liquidation.</w:t>
      </w:r>
    </w:p>
    <w:p>
      <w:r>
        <w:rPr>
          <w:b/>
        </w:rPr>
        <w:t>E. 2.5</w:t>
      </w:r>
    </w:p>
    <w:p>
      <w:r>
        <w:t>Nach dem Gesagten sind die Voraussetzungen einer Wiederherstellung der Berufungsfrist nach Art. 148 ZPO erfüllt. Der Gesuchstellerin ist in Gutheissung ihres Gesuchs eine Nach- frist von 10 Tagen anzusetzen, um gegen den Entscheid des Einzelrichters vom 23. Juli 2024 ein Rechtsmittel ergreifen zu können.</w:t>
      </w:r>
    </w:p>
    <w:p>
      <w:r>
        <w:rPr>
          <w:b/>
        </w:rPr>
        <w:t>E. 3</w:t>
      </w:r>
    </w:p>
    <w:p>
      <w:r>
        <w:t>Antragsgemäss sind die Prozesskosten des Verfahrens Z2 2024 57 der Gesuchstellerin auf- 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