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37 vom 18. September 2024</w:t>
      </w:r>
    </w:p>
    <w:p>
      <w:r>
        <w:t>ZG Obergericht, 2024-09-18, DE</w:t>
      </w:r>
    </w:p>
    <w:p>
      <w:r>
        <w:rPr>
          <w:b/>
        </w:rPr>
        <w:t xml:space="preserve">Quelle: </w:t>
      </w:r>
      <w:r>
        <w:t>https://mcp.opencaselaw.ch/entscheid/zg_obergericht_Z2_2024_37</w:t>
      </w:r>
    </w:p>
    <w:p>
      <w:r>
        <w:t>FR: ZG_OBERGERICHT Z2 2024 37 du 18 septembre 2024</w:t>
      </w:r>
    </w:p>
    <w:p>
      <w:r>
        <w:t>IT: ZG_OBERGERICHT Z2 2024 37 del 18 settembre 2024</w:t>
      </w:r>
    </w:p>
    <w:p>
      <w:pPr>
        <w:pStyle w:val="Heading2"/>
      </w:pPr>
      <w:r>
        <w:t>Regeste</w:t>
      </w:r>
    </w:p>
    <w:p>
      <w:r>
        <w:t>Massnahmen gemäss Art. 731b OR (Berufung gegen den Entscheid des Einzelrichters am Kantonsgericht Zug vom 4. Juni 2024) | übriges Gesellschafts/Handelsr</w:t>
      </w:r>
    </w:p>
    <w:p>
      <w:pPr>
        <w:pStyle w:val="Heading2"/>
      </w:pPr>
      <w:r>
        <w:t>Erwägungen</w:t>
      </w:r>
    </w:p>
    <w:p>
      <w:r>
        <w:rPr>
          <w:b/>
        </w:rPr>
        <w:t>E. 1</w:t>
      </w:r>
    </w:p>
    <w:p>
      <w:r>
        <w:t>In Bezug auf die Beendigung des Mandats der Berufungskläger als Sachwalter der Gesuchs- gegnerin und deren Löschung im Handelsregister (Dispositiv-Ziffern 1.1 und 1.2) sowie die Prozesskosten und deren Verteilung (Dispositiv-Ziffern 3 und 4) blieb der vorinstanzliche Entscheid unangefochten. Darauf ist folglich nicht weiter einzugehen.</w:t>
      </w:r>
    </w:p>
    <w:p>
      <w:r>
        <w:rPr>
          <w:b/>
        </w:rPr>
        <w:t>E. 1.1</w:t>
      </w:r>
    </w:p>
    <w:p>
      <w:r>
        <w:t>In teilweiser Gutheissung der Berufung wird Dispositiv-Ziffer 2 des Entscheids des Einzelrich- ters am Kantonsgerichts Zug vom 4. Juni 2024 aufgehoben und wie folgt ersetzt: "2. Auf Ziff. 2 des Antrags der Sachwalter vom 22. März 2024 wird nicht eingetreten."</w:t>
      </w:r>
    </w:p>
    <w:p>
      <w:r>
        <w:rPr>
          <w:b/>
        </w:rPr>
        <w:t>E. 1.2</w:t>
      </w:r>
    </w:p>
    <w:p>
      <w:r>
        <w:t>Im Übrigen wird auf die Berufung nicht eingetreten. 2. Die Entscheidgebühr für das Berufungsverfahren von CHF 3'000.00 wird den Berufungsklä- gern unter solidarischer Haftbarkeit auferlegt und mit dem von ihnen geleisteten Kostenvor- schuss in selber Höhe verrechnet. 3. Für das Berufungsverfahren werden keine Parteientschädigungen zugesprochen.</w:t>
      </w:r>
    </w:p>
    <w:p>
      <w:r>
        <w:t>Seite 12/12 4. Gegen diesen Entscheid mit einem Streitwert von über CHF 30'000.00 ist die Beschwerde in Zivilsachen nach den Art. 72 ff. des Bundesgerichtsgesetzes (BGG) zulässig; die Beschwer- degründe richten sich nach den Art. 95 ff. BGG. Eine allfällige Beschwerde ist innert 30 Ta- 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5. Mitteilung an: - Parteien - Kantonsgericht Zug, Einzelrichter (ES 2023 150) - Gerichtskasse (im Dispositiv) Obergericht des Kantons Zug II. Zivilabteilung A. Staub I. Cathry Abteilungspräsident Gerichtsschreiber versandt am:</w:t>
      </w:r>
    </w:p>
    <w:p>
      <w:r>
        <w:rPr>
          <w:b/>
        </w:rPr>
        <w:t>E. 2</w:t>
      </w:r>
    </w:p>
    <w:p>
      <w:r>
        <w:t>Im vorliegenden Berufungsverfahren stellt sich hauptsächlich die Frage, ob ein Sachwalter im Rahmen eines Organisationsmängelverfahrens nach Art. 731b OR einen Anspruch auf gerichtliche Genehmigung seines Honorars hat.</w:t>
      </w:r>
    </w:p>
    <w:p>
      <w:r>
        <w:rPr>
          <w:b/>
        </w:rPr>
        <w:t>E. 2.2</w:t>
      </w:r>
    </w:p>
    <w:p>
      <w:r>
        <w:t>des Entscheids über die Einsetzung. Dass der Einzelrichter bei der Genehmigung auf diese Dispositiv-Ziffern verwies, lag insofern nahe, als darin die Kostentragungspflicht und die Möglichkeit zur Abrechnung und Verrechnung festgehalten wurden. Daraus jedoch eine vorbehaltene gerichtliche Genehmigung abzuleiten, geht bereits deshalb fehl, weil diese oder die Möglichkeit zur Einreichung der Schlussabrechnung dort nicht erwähnt wurde (vgl. vorne E. 7.2). Zudem lag der Unterschied, den die Berufungskläger in der Berufung verschweigen, darin, dass über die Genehmigung des Honorars von G.________ – anders als beim Honorar der Berufungskläger (vgl. die diesbezüglichen Einwände der Gesuchsgegnerin in Vi act. 36) – nach Auffassung des Einzelrichters zwischen allen involvierten Parteien Einigkeit in allen Punkten herrschte (Vi act. 38: "[…] von den Parteien keine Einwendungen erfolgt sind […]"). Insofern stand einer Genehmigung aus Sicht des Einzelrichters nichts im Weg. Nach richtiger Auffassung jedoch war auch dies nicht zulässig, da auch beim Sachwalter G.________ kein Entscheid vorgelegen hatte, der eine Genehmigung vorsah. Deshalb können die Berufungs- kläger daraus nichts zu ihren Gunsten ableiten.</w:t>
      </w:r>
    </w:p>
    <w:p>
      <w:r>
        <w:rPr>
          <w:b/>
        </w:rPr>
        <w:t>E. 3</w:t>
      </w:r>
    </w:p>
    <w:p>
      <w:r>
        <w:t>Die Vorinstanz verneinte diese Frage. Sie berief sich dabei im Wesentlichen auf das Urteil des Obergerichts Zug Z2 2024 16 vom 29. Mai 2024 und wies den Antrag der Berufungs- kläger auf Genehmigung ihrer Honorarnote mit folgender Begründung ab (act. 1/1 Spiegel- striche 18 ff.): Eine Vorschrift, wonach das gestützt auf Art. 731b Abs. 2 OR geschuldete Honorar gericht- lich zu genehmigen sei, ergebe sich weder aus dem Gesetz noch aus einem gerichtlichen Entscheid. Zudem sei der verfügte Vorschuss von der Gesuchstellerin nicht an die Gerichts- kasse, sondern direkt an die Sachwalter überwiesen worden. Die Sachwalter hätten daher direkt mit den Parteien abzurechnen. Da eine Verpflichtung zur Kostentragung in der Regel zeitgleich mit der Verpflichtung zur Leistung eines Kostenvorschusses und überdies oft erst im Endentscheid auferlegt werde, genüge es, wenn die Gesellschaft entweder bloss im Grundsatz zur Übernahme der Kosten verpflichtet werde oder wenn die Grundsätze der Honorierung festgelegt würden. Eine betragsmässige Festlegung durch das Gericht sei ebenso wenig vorgeschrieben wie die nachträgliche Genehmigung. Mit Entscheid vom 27. September 2023 sei die Gesuchsgegnerin bereits verpflichtet worden, die Kosten der Sachwalter zu bezahlen, und es seien die Grundsätze der Honorierung festgelegt worden. Mithin sei der Antrag betreffend Genehmigung des Honorars abzuweisen.</w:t>
      </w:r>
    </w:p>
    <w:p>
      <w:r>
        <w:rPr>
          <w:b/>
        </w:rPr>
        <w:t>E. 4</w:t>
      </w:r>
    </w:p>
    <w:p>
      <w:r>
        <w:t>Die Berufungskläger erheben zusammengefasst die folgenden Rügen (act. 1 Rz 18 ff.): Das erwähnte Urteil des Obergerichts Zug sei auf den vorliegenden Fall nicht anwendbar. Selbst wenn das Urteil einschlägig wäre, habe die Vorinstanz das Recht falsch angewandt: Es liege ein Entscheid vor, der die Genehmigung des Honorars und die Zusprechung von betragsmässig bestimmten Ansprüchen gegen die Gesuchsgegnerin vorsehe. Eventualiter verletze eine Auslegung von Art. 731b Abs. 2 OR, wonach das Honorar des Sachwalters nicht gerichtlich genehmigt werden und keine betragsmässig definierten Ansprüche gegen die Gesuchsgegnerin festgelegt werden müssten, das Recht. Schliesslich sei die Nichtge- nehmigung ihres Honorars ein unzulässiger Überraschungsentscheid, der aufzuheben sei. Er verstosse auch gegen das "Rechtsgleichheitsgebot", da die Voraussetzungen für die im Entscheid vorgenommene Praxisänderung nicht gegeben seien.</w:t>
      </w:r>
    </w:p>
    <w:p>
      <w:r>
        <w:rPr>
          <w:b/>
        </w:rPr>
        <w:t>E. 5</w:t>
      </w:r>
    </w:p>
    <w:p>
      <w:r>
        <w:t>Fehlt der Gesellschaft eines der vorgeschriebenen Organe oder ist eines dieser Organe nicht rechtmässig zusammengesetzt, so kann ein Aktionär oder ein Gläubiger dem Gericht bean- tragen, die erforderlichen Massnahmen zu ergreifen (Art. 731b Abs. 1 Ziff. 1 und 2 OR). Beim</w:t>
      </w:r>
    </w:p>
    <w:p>
      <w:r>
        <w:t>Seite 6/12 Organisationsmängelverfahren handelt es sich um ein streitiges Summarverfahren (Urteil des Bundesgerichts 4A_387/2023 vom 2. Mai 2024 E. 2.2.2).</w:t>
      </w:r>
    </w:p>
    <w:p>
      <w:r>
        <w:rPr>
          <w:b/>
        </w:rPr>
        <w:t>E. 5.1</w:t>
      </w:r>
    </w:p>
    <w:p>
      <w:r>
        <w:t>Art. 731b Abs. 1 OR gibt dem Gericht einen Ermessensspielraum, um eine mit Blick auf die konkreten Umstände des Einzelfalles angemessene Massnahme treffen zu können. Immer- hin ist das Gericht bei der Auswahl der Massnahme an das Verhältnismässigkeitsprinzip ge- bunden. Ernennt es das fehlende Organ oder einen Sachwalter, so bestimmt es die Dauer, für welche die Ernennung gültig ist (Art. 731b Abs. 2 Satz 1 OR). Wird ein Sachwalter einge- setzt, sind zudem dessen Kompetenzen im Urteil zu bestimmen, wobei das Gericht auch bei der konkreten Instruktion des Sachwalters über ein Ermessen verfügt (Urteil des Bundesge- richts 4A_717/2014 vom 29. Juni 2015 E. 3.1). Das Gericht soll nicht anstelle der dafür zu- ständigen gesellschaftsinternen Organe eine permanente Ernennung vornehmen, sondern lediglich eine Lösung ad interim schaffen (Watter/Duss, Basler Kommentar, 6. A. 2024, Art. 731b OR N 22). Die Funktions- und Handlungsfähigkeit der juristischen Person soll grundsätzlich ohne weitere Inanspruchnahme des Gerichts gewährleistet werden (Urteil des Obergerichts Zug Z2 2021 37 vom 21. Februar 2022 E. 2.3.2; Schönbächler, Die Organisati- onsklage nach Art. 731b OR, 2013, S. 196). Das Amt des gerichtlich ernannten Organs oder Sachwalters endet mit dem Ablauf der vorgegebenen Zeit (Art. 731b Abs. 2 Satz 1 OR; Böck- li, Schweizer Aktienrecht, 4. A. 2009, § 13 N 495). Die vom Gericht ernannten Personen sind allerdings frei, vom angenommenen Mandat vorzeitig zurückzutreten (vgl. Schönbächler, a.a.O., S. 242 f.).</w:t>
      </w:r>
    </w:p>
    <w:p>
      <w:r>
        <w:rPr>
          <w:b/>
        </w:rPr>
        <w:t>E. 5.2</w:t>
      </w:r>
    </w:p>
    <w:p>
      <w:r>
        <w:t>Keinen Ermessensspielraum gewährt das Gesetz dem Richter hingegen in Bezug auf die Tragung der Kosten der gerichtlich angeordneten Massnahmen (Massnahmekosten): Gemäss Art. 731b Abs. 2 Satz 2 OR sind die Kosten, welche die Massnahmen verursachen, der Gesellschaft aufzuerlegen, wobei diese für diese Kosten einen entsprechenden Kosten- vorschuss zu leisten hat (vgl. Lehmann, Die "kleine Aktienrechtsrevision" [Teil 2], GesKR 2007 S. 420 ff., 423; Botschaft zur Revision des Obligationenrechts vom 19. Dezember 2001, BBl 2002, S. 3233 Ziff. 2.2.3). Damit schuf der Gesetzgeber Klarheit darüber, dass es dies- bezüglich nur eine kostenpflichtige Person gibt: die Gesellschaft. Das Gericht kann im Orga- nisationsmängelverfahren folglich die Massnahmekosten nicht etwa ganz oder teilweise an- deren Verfahrensbeteiligten oder Dritten (beispielsweise den Organen, die den Organisati- onsmangel zu verantworten haben) auferlegen oder die Kosten entsprechend dem Verfah- rensausgang nach Art. 106 Abs. 1 ZPO verteilen (vgl. Schönbächler, a.a.O., S. 416 f.).</w:t>
      </w:r>
    </w:p>
    <w:p>
      <w:r>
        <w:rPr>
          <w:b/>
        </w:rPr>
        <w:t>E. 5.3</w:t>
      </w:r>
    </w:p>
    <w:p>
      <w:r>
        <w:t>Mit der Bevorschussung sodann soll erreicht werden, dass notwendige Massnahmen über- haupt umgesetzt werden. Revisionsstellen, Sachwalter oder andere mit Organfunktionen betrauten Personen übernehmen in den meisten Fällen ein entsprechendes Mandat nur bei Leistung eines Kostenvorschusses (Bohrer/ Kummer, Zürcher Kommentar, 3. A. 2018, Art. 731b OR N 60; Lehmann, a.a.O., S. 423).</w:t>
      </w:r>
    </w:p>
    <w:p>
      <w:r>
        <w:rPr>
          <w:b/>
        </w:rPr>
        <w:t>E. 5.4</w:t>
      </w:r>
    </w:p>
    <w:p>
      <w:r>
        <w:t>Modifizierbar oder konkretisierbar durch das Gericht sind hingegen die Regeln über das Ho- norar in dem Sinn, als es nicht nur grundsätzlich die Übernahme der Kosten des von ihm er- nannten Sachwalters durch die Gesellschaft, sondern auch die Art und Höhe der Honorie- rung anordnen kann, aber nicht muss (vgl. Vischer, Die Verantwortlichkeit des im Organisati- onsmängelverfahren eingesetzten Verwaltungsratsmitglieds und Sachwalters, HAVE 2017 S. 369). Da aber im Organisationsmängelverfahren eine Verpflichtung zur Kostentragung in</w:t>
      </w:r>
    </w:p>
    <w:p>
      <w:r>
        <w:t>Seite 7/12 der Regel zeitgleich mit der Verpflichtung zur Leistung eines Kostenvorschusses (vgl. Dalla Palma/von der Crone, Der Organisationsmangel in der Aktiengesellschaft und die Ernennung eines Sachwalters nach Art. 731b OR, SZW 5/2020 S. 577 ff., 585 f.) und überdies oft erst im Endentscheid (vgl. BGE 138 III 294 E. 3.3.1) festgelegt wird, genügt es, wenn die Gesell- schaft entweder bloss im Grundsatz zur Übernahme der Kosten verpflichtet wird oder wenn die Grundsätze der Honorierung festgelegt werden (vgl. Vischer, a.a.O., S. 367). Eine be- tragsmässige Festlegung des nach Abschluss der Arbeiten geschuldeten Honorars durch das Gericht ist ebenso wenig vorgeschrieben wie die nachträgliche Genehmigung.</w:t>
      </w:r>
    </w:p>
    <w:p>
      <w:r>
        <w:rPr>
          <w:b/>
        </w:rPr>
        <w:t>E. 5.5</w:t>
      </w:r>
    </w:p>
    <w:p>
      <w:r>
        <w:t>Anderes gilt etwa bei der Festlegung des Honorars eines Sachwalters im Nachlassverfahren nach Art. 293 ff. SchKG. In diesen Verfahren besteht mit Art. 55 GebV SchKG eine explizite Bestimmung, wonach das Nachlassgericht das Honorar des Sachwalters pauschal festsetzt. Die GebV SchKG regelt weiter, dass das Gericht dabei namentlich die Schwierigkeit und Be- deutung der Sache, den Umfang der Bemühungen, den Zeitaufwand sowie die Auslagen zu berücksichtigen hat (Art. 55 Abs. 3 GebV SchKG). Auch beispielsweise bei ausseramtlichen Konkursverwaltungen ist ausdrücklich normiert (Art. 47 Abs. 1 GebV SchKG), dass das Ge- richt das Entgelt festsetzt, unter Berücksichtigung namentlich von Schwierigkeit und Bedeu- tung der Sache, Umfang der Bemühungen sowie Zeitaufwand.</w:t>
      </w:r>
    </w:p>
    <w:p>
      <w:r>
        <w:rPr>
          <w:b/>
        </w:rPr>
        <w:t>E. 6</w:t>
      </w:r>
    </w:p>
    <w:p>
      <w:r>
        <w:t>Vorliegend kann offenbleiben, ob das Urteil des Obergerichts Z2 2024 16 vom 29. Mai 2024 einschlägig ist (vgl. die Einwände der Berufungskläger in act. 1 Rz 18-22). Denn nach dem Gesagten steht fest, dass die vorinstanzliche Auffassung, wonach das Honorar des Sachwal- ters nicht gerichtlich genehmigt werden kann und keine betragsmässig definierten Ansprüche gegen die Gesuchsgegnerin festgelegt werden müssen, das Recht nicht verletzt. Was die Berufungskläger dagegen vorbringen, überzeugt nicht.</w:t>
      </w:r>
    </w:p>
    <w:p>
      <w:r>
        <w:rPr>
          <w:b/>
        </w:rPr>
        <w:t>E. 6.1</w:t>
      </w:r>
    </w:p>
    <w:p>
      <w:r>
        <w:t>Die Berufungskläger wenden ein, es wäre entbehrlich, im Gesetz auch noch festzuhalten, dass das Gericht die Gesellschaft zur Kostentragung zu verpflichten habe, wenn sich der Gehalt von Art. 731b Abs. 2 OR darin erschöpfe, dass die Gesellschaft die Kosten des Sachwalters zu tragen habe (act. 1 Rz 32). Dieser Einwand ist nicht nachvollziehbar. Der zweite Satz dieser Bestimmung gibt nämlich vor, dass das Gericht bei der Verteilung der Kosten der von ihm verfügten Massnahmen über keinen Ermessensspielraum verfügt. Es hat zwingend sämtliche Kosten der Gesellschaft aufzuerlegen und kann nicht die Gesuch- steller – wie es beispielsweise bei einer Sonderuntersuchung nach Art. 697b Abs. 2 OR der Fall sein kann – verpflichten, die Kosten ganz oder teilweise zu tragen, sollten es die Um- stände rechtfertigen. Folglich ist diese Regelung in Art. 731b Abs. 2 OR nicht entbehrlich.</w:t>
      </w:r>
    </w:p>
    <w:p>
      <w:r>
        <w:rPr>
          <w:b/>
        </w:rPr>
        <w:t>E. 6.2</w:t>
      </w:r>
    </w:p>
    <w:p>
      <w:r>
        <w:t>Dass das Gericht auch die Höhe der Kostentragungspflicht zu bestimmen habe (act. 1 Rz 32), ergibt sich daraus gerade nicht. Gegen diese Auffassung der Berufungskläger spricht im Übrigen auch die Systematik dieser Bestimmung: Als erstes verpflichtet das Gericht die Gesellschaft, die Kosten zu tragen. In diesem Zeitpunkt kann es – wie die Berufungskläger richtig vorbringen – die (endgültige) Höhe der Kosten noch nicht kennen. Hingegen kann es den Stundenansatz festlegen. Als zweites verpflichtet es die Gesellschaft, einen Vorschuss zu leisten. Als drittes müsste das Gericht – der Auffassung der Berufungskläger folgend – die Honorarnote des Sachwalters genehmigen. Doch dieser dritte Schritt ist bezeichnenderweise weder in Art. 731b Abs. 2 Satz 2 OR noch an anderer Stelle vorgesehen. Die Verpflichtung</w:t>
      </w:r>
    </w:p>
    <w:p>
      <w:r>
        <w:t>Seite 8/12 zur Leistung eines Vorschusses enthält denn auch nicht a maiore minus die Verpflichtung zur Genehmigung der Honorarnote (vgl. act. 1 Rz 37).</w:t>
      </w:r>
    </w:p>
    <w:p>
      <w:r>
        <w:rPr>
          <w:b/>
        </w:rPr>
        <w:t>E. 6.3</w:t>
      </w:r>
    </w:p>
    <w:p>
      <w:r>
        <w:t>Wie erwähnt, wird der Vorschuss zu einem Zeitpunkt festgelegt, zu dem der Sachwalter erst eingesetzt wird. Die Einsetzung erfolgt in aller Regel im Endentscheid. Auf dieses Argument gehen die Berufungskläger übrigens nicht ein, weshalb insoweit auf ihre Berufung nicht ein- zutreten ist. Ab der Einsetzung soll keine weitere Inanspruchnahme des Organisationsmän- gelrichters mehr erforderlich sein. Das Organisationsmängelverfahren ist damit grundsätzlich abgeschlossen. Ab dann besteht ein privatrechtliches Verhältnis zwischen Sachwalter und Gesellschaft. Der Sachwalter handelt nicht amtlich und schon gar nicht hoheitlich. Daher un- tersteht er auch nicht der Aufsicht des Gerichts, das ihn ernannt hat. Das Gericht kann ihm entsprechend auch keine nachträglichen Weisungen erteilen und ihn nicht aus eigenem An- trieb abberufen. Vorbehalten bleiben Änderungen gestützt auf Art. 731b Abs. 3 OR oder allgemeine zivilprozessuale Vorschriften (vgl. Vischer, a.a.O., S. 370). Ordnet das Gericht bei der Ernennung des Sachwalters nichts Gegenteiliges an, kann es später – vorbehältlich eines neuen, von einem Aktionär oder Gläubiger gestellten Gesuchs – nicht von sich aus intervenieren (vgl. Recordon, Les premiers pas de l'article 731b CO, SZW 2010 S. 1 ff., 7). Dass der Sachwalter öffentlich-rechtlich (mittels Gerichtsentscheids) eingesetzt wird, macht sein Verhältnis zur Gesellschaft – entgegen gewissen Lehrmeinungen (vgl. etwa Schönbäch- ler, a.a.O., S. 221) – nicht (halb) öffentlich-rechtlich. Schliesslich wird bei der gerichtlichen Einsetzung einer Revisionsstelle oder eines Verwaltungsrates in der Lehre – soweit ersicht- lich – auch nicht die Auffassung vertreten, das Mandatsverhältnis sei öffentlich-rechtlich und der Organisationsmängelrichter habe dereinst die Rechnung oder Honorarnote zu genehmi- gen. Der Sachwalter im Sinne von Art. 731b Abs. 1bis Ziff. 2 OR ist von der Funktion her nichts anderes als ein Verwaltungsrat mit beschränkten Befugnissen (vgl. Vischer, a.a.O., S. 386 f. m.H.). Öffentlich-rechtlich ist demgegenüber beispielsweise die Tätigkeit eines Sachwalters im Nachlassverfahren nach Art. 293 ff. SchKG oder die Tätigkeit einer ausser- amtlichen Konkursverwaltung (vgl. vorne E. 5.5).</w:t>
      </w:r>
    </w:p>
    <w:p>
      <w:r>
        <w:rPr>
          <w:b/>
        </w:rPr>
        <w:t>E. 6.4</w:t>
      </w:r>
    </w:p>
    <w:p>
      <w:r>
        <w:t>Dass der Vorschuss, zu dessen Leistung die Gesellschaft zu verpflichten ist, vom Gericht be- tragsmässig bestimmt werden muss, versteht sich von selbst und bedarf keiner ausdrückli- chen Erwähnung im Gesetz. Entgegen dem, was die Berufungskläger suggerieren (vgl. act. 1 Rz 36), versteht es sich aber gerade nicht von selbst, dass die Regelung über die Kostentra- gungspflicht eine betragsmässige Festsetzung der Schlussabrechnung beinhaltet. Wie er- wähnt, dient die Regelung über die Kostentragungspflicht dazu, Klarheit zu schaffen, dass ausschliesslich die Gesellschaft (und beispielsweise nicht auch andere Parteien des Organi- sationsmängelverfahrens und nicht die für den Organisationsmangel verantwortlichen Orga- ne) kostenpflichtig ist.</w:t>
      </w:r>
    </w:p>
    <w:p>
      <w:r>
        <w:rPr>
          <w:b/>
        </w:rPr>
        <w:t>E. 7</w:t>
      </w:r>
    </w:p>
    <w:p>
      <w:r>
        <w:t>Schliesslich überzeugt auch der Einwand der Berufungskläger nicht, wonach ein Entscheid (des Organisationsmängelrichters am Kantonsgericht Zug) vorliege, der die Genehmigung des Honorars und die Zusprechung von betragsmässig bestimmten Ansprüchen gegen die Gesuchsgegnerin vorsehe (act. 1 Rz 23-29).</w:t>
      </w:r>
    </w:p>
    <w:p>
      <w:r>
        <w:rPr>
          <w:b/>
        </w:rPr>
        <w:t>E. 7.1</w:t>
      </w:r>
    </w:p>
    <w:p>
      <w:r>
        <w:t>In Bezug auf die Kostentragung und das Honorar der eingesetzten Sachwalter legte der Ein- zelrichter im Entscheid vom 27. September 2023 Folgendes fest (Vi act. 16): " 2.1 Die Gesuchsgegnerin wird verpflichtet, die Kosten der eingesetzten Sachwalter zu bezahlen.</w:t>
      </w:r>
    </w:p>
    <w:p>
      <w:r>
        <w:t>Seite 9/12</w:t>
      </w:r>
    </w:p>
    <w:p>
      <w:r>
        <w:rPr>
          <w:b/>
        </w:rPr>
        <w:t>E. 7.2</w:t>
      </w:r>
    </w:p>
    <w:p>
      <w:r>
        <w:t>In Dispositiv-Ziffer 2.1 wird die Gesuchsgegnerin in Anwendung von Art. 731b Abs. 2 OR le- diglich zur Kostentragung verpflichtet. Es wird dort im Wesentlichen bloss der Gesetzeswort- laut wiedergegeben. Auch Dispositiv-Ziffer 2.2 lässt sich nicht entnehmen, dass die effektive Abrechnung des Sachwalterhonorars vom Gericht vorgenommen oder genehmigt wird. Das Gegenteil ist der Fall. In Dispositiv-Ziffer 2.2 legte der Einzelrichter die Grundsätze der Hono- rierung (Stundenansatz der Sachwalter, Höhe der Auslagen und Verpflichtung zur Tragung der Mehrwertsteuer) fest und bestimmte darüber hinaus, dass nach Wahl und Eintragung ei- nes Verwaltungsrats bei der Gesuchsgegnerin effektiv abgerechnet wird und welcher Partei ein allfälliger Restbetrag des Kostenvorschusses zurückzuerstatten ist bzw. welche Partei ei- nen Fehlbetrag zu übernehmen hat. Damit wurden sämtliche notwendigen Modalitäten in Be- zug auf die Honorierung festgehalten. Die Berufungskläger als Sachwalter wären ohne Wei- teres und ohne weitere Inanspruchnahme des Gerichts in der Lage gewesen, nach Beendi- gung ihres Amts mit der Gesuchsgegnerin abzurechnen und – im Falle eines Fehlbetrags – einen solchen bei der Gesuchsgegnerin einzufordern. Dies ergibt sich bereits aus dem Um- stand, dass die einverlangten Kostenvorschüsse direkt an die Berufungskläger und nicht an die Gerichtskasse geleistet wurden. Wäre hingegen eine nachträgliche richterliche Genehmi- gung betreffend das Sachwalterhonorar vorgesehen gewesen, hätte im Entscheid festgehal- ten werden müssen, dass die Sachwalter nach Beendigung ihres Amts dem Gericht ihre Ab- rechnung zur Genehmigung vorzulegen haben.</w:t>
      </w:r>
    </w:p>
    <w:p>
      <w:r>
        <w:rPr>
          <w:b/>
        </w:rPr>
        <w:t>E. 8</w:t>
      </w:r>
    </w:p>
    <w:p>
      <w:r>
        <w:t>Schliesslich können die Berufungskläger auch aus der Tatsache, dass der Einzelrichter am Kantonsgericht mit Entscheid vom 15. April 2024 die Honorarnote von Rechtsanwalt G.________ im Betrag von insgesamt CHF 69'255.60 (inkl. MWST) genehmigte und die Ge- suchsgegnerin verpflichtete, den Restbetrag von CHF 1'178.10 zu bezahlen (Vi act. 38), nichts zu ihren Gunsten ableiten (vgl. act. 1 Rz 40 ff.).</w:t>
      </w:r>
    </w:p>
    <w:p>
      <w:r>
        <w:rPr>
          <w:b/>
        </w:rPr>
        <w:t>E. 8.1</w:t>
      </w:r>
    </w:p>
    <w:p>
      <w:r>
        <w:t>Mit der Benennung bloss eines Entscheids gelingt es den Berufungsklägern nicht, eine bis- her von den Gerichten oder vom Einzelrichter am Kantonsgericht Zug geübte Praxis aufzu- zeigen, von der zu ihrem Nachteil, den sie im Übrigen auch nicht darlegen, abgewichen wur- de. Mithin gehen ihre Ausführungen zur unzulässigen Praxisänderung ins Leere. Ausserdem besteht grundsätzlich kein Anspruch auf Gleichbehandlung im Unrecht. Eine falsche Rechts- anwendung in einem einzigen Fall oder in einigen wenigen Fällen begründet jedenfalls kei- nen Anspruch, seinerseits ebenfalls abweichend von der Norm behandelt zu werden (Urteil des Bundesgerichts 1C_444/2014 vom 27. Januar 2015 E. 4.2).</w:t>
      </w:r>
    </w:p>
    <w:p>
      <w:r>
        <w:t>Seite 10/12</w:t>
      </w:r>
    </w:p>
    <w:p>
      <w:r>
        <w:rPr>
          <w:b/>
        </w:rPr>
        <w:t>E. 8.2</w:t>
      </w:r>
    </w:p>
    <w:p>
      <w:r>
        <w:t>Im Entscheid, mit dem der Einzelrichter das Honorar des Sachwalters G.________ geneh- migte, hielt der Einzelrichter Folgendes fest: "Gestützt auf den Entscheid vom 14. März 2023 (Ziff. 2.1 und 4.2 [recte: 2.2] des Dispositivs [Vi act. 10]) sowie die Eingabe von Rechtsanwalt G.________ (ehemaliger Sachwalter der Gesuchsgegnerin) vom 7. März 2024 und unter Berücksichtigung, dass von den Parteien keine Einwendungen erfolgt sind, ergeht folgender Entscheid […]" (Vi act. 38). Die erwähnten Ziffern 2.1 und 2.2 des Dispositivs lauteten beim Entscheid über die Einsetzung des Sachwalters G.________ praktisch gleich wie bei der Einsetzung der Berufungskläger (vgl. zur Formulierung vorne E. 7.1). Die hauptsächlichen Unterschiede waren, dass der Vorschuss bei G.________ CHF 5'000.00 und jener bei den Berufungsklägern CHF 10'000.00 betrug und dass bei G.________ kein Stundenansatz fest- gelegt wurde (vgl. Vi act. 10). Entgegen den Vorbringen der Berufungskläger (act. 1 Rz 26) erging die Genehmigung im Falle von G.________s Honorar jedoch nicht "explizit gestützt auf" Dispositiv-Ziffern 2.1 und</w:t>
      </w:r>
    </w:p>
    <w:p>
      <w:r>
        <w:rPr>
          <w:b/>
        </w:rPr>
        <w:t>E. 8.3</w:t>
      </w:r>
    </w:p>
    <w:p>
      <w:r>
        <w:t>Dass G.________s Honorar genehmigt wurde und jenes der Berufungskläger nicht, mögen Letztere als Ungleichbehandlung empfinden. Allerdings ist ihnen entgegenzuhalten, dass sie es – im Unterschied zum Sachwalter G.________ – versäumt haben, einen annähernd aus- reichenden Kostenvorschuss zu verlangen oder nachzufordern. Ihr Kostenvorschuss betrug insgesamt bloss CHF 20'000.00. Weitere Vorschüsse verlangten sie – soweit ersichtlich – nie.</w:t>
      </w:r>
    </w:p>
    <w:p>
      <w:r>
        <w:rPr>
          <w:b/>
        </w:rPr>
        <w:t>E. 8.4</w:t>
      </w:r>
    </w:p>
    <w:p>
      <w:r>
        <w:t>Die Rüge der Berufungskläger, beim angefochtenen Entscheid handle es sich um einen Überraschungsentscheid und ihnen sei das rechtliche Gehör nicht gewährt worden (act. 1 Rz 40-43), verfängt schliesslich auch nicht. Sollte die Vorinstanz das rechtliche Gehör der Berufungskläger verletzt haben, würde diese Verletzung vorliegend geheilt. Denn die Beru- fungskläger konnten sich vor Obergericht, das sowohl den Sachverhalt als auch die Rechts- lage frei überprüft, dazu äussern. Eine Rückweisung an die Vorinstanz käme einem unnöti- gen formalistischen Leerlauf gleich, weshalb davon abzusehen ist, zumal die Berufungsklä- ger eine Rückweisung auch bloss eventualiter beantragten (vgl. Urteile des Bundesgerichts 4A_385/2021 vom 13. Januar 2022 E. 6.2.2, 4A_374/2020 vom 8. Februar 2021 E. 5.1 und 5A_28/2020 vom 13. November 2020 E. 3.3.7, je m.w.H.).</w:t>
      </w:r>
    </w:p>
    <w:p>
      <w:r>
        <w:t>Seite 11/12</w:t>
      </w:r>
    </w:p>
    <w:p>
      <w:r>
        <w:rPr>
          <w:b/>
        </w:rPr>
        <w:t>E. 9</w:t>
      </w:r>
    </w:p>
    <w:p>
      <w:r>
        <w:t>Zusammenfassend bleibt festzuhalten, dass vorliegend keine Grundlage (Norm oder Ent- scheid) besteht, wonach der Organisationsmängelrichter das Sachwalterhonorar der Beru- fungskläger genehmigt und die Gesellschaft zur Zahlung in der Höhe des genehmigten Betrags verpflichtet. Richtigerweise hätte die Vorinstanz den Antrag der Berufungskläger je- doch nicht abweisen dürfen. Vielmehr hätte sie auf den Antrag mangels Zuständigkeit gar nicht eintreten dürfen. Folglich ist die Berufung – soweit darauf eingetreten wird – teil- weise gutzuheissen und der Antrag auf Genehmigung und Verpflichtung zur Zahlung von CHF 102'961.00 ist durch Nichteintreten zu erledigen (vgl. Urteil des Obergerichts Zug Z2 2023 5 vom 19. Dezember 2023 E. 2.3 mit Hinweisen).</w:t>
      </w:r>
    </w:p>
    <w:p>
      <w:r>
        <w:rPr>
          <w:b/>
        </w:rPr>
        <w:t>E. 10</w:t>
      </w:r>
    </w:p>
    <w:p>
      <w:r>
        <w:t>Bei diesem Ausgang des Berufungsverfahrens sind die Prozesskosten den Berufungsklägern unter solidarischer Haftbarkeit aufzuerlegen (Art. 106 Abs. 1 und 3 ZPO). Ihre Berufung wird zwar teilweise gutgeheissen, doch kommt das Nichteintreten (materiell) einer Abweisung der Berufung gleich, weshalb die Berufungskläger gleichwohl als unterliegend gelten (vgl. Ur- teil des Obergerichts Bern ZK 18 289 vom 5. Februar 2019 E. 48). Beim Streitwert von CHF 102'961.00 beträgt die Entscheidgebühr im ordentlichen oder vereinfachten Verfahren CHF 6'178.00 (§ 11 Abs. 1 und § 15 Abs. 1 KoV OG). Da es sich um ein summarisches Ver- fahren handelt und überdies innert Frist keine Berufungsantworten eingingen, ist die Gebühr ermessensweise auf CHF 3'000.00 zu reduzieren (§ 12 Abs. 1 KoV OG). Der Gesuchsgegne- rin und der Gesuchstellerin sind bereits mangels Anträge keine Parteientschädigungen zuzu- sprechen.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