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17 vom 12. September 2023</w:t>
      </w:r>
    </w:p>
    <w:p>
      <w:r>
        <w:t>ZG Obergericht, 2023-09-12, DE</w:t>
      </w:r>
    </w:p>
    <w:p>
      <w:r>
        <w:rPr>
          <w:b/>
        </w:rPr>
        <w:t xml:space="preserve">Quelle: </w:t>
      </w:r>
      <w:r>
        <w:t>https://mcp.opencaselaw.ch/entscheid/zg_obergericht_Z1_2023_17</w:t>
      </w:r>
    </w:p>
    <w:p>
      <w:r>
        <w:t>FR: ZG_OBERGERICHT Z1 2023 17 du 12 septembre 2023</w:t>
      </w:r>
    </w:p>
    <w:p>
      <w:r>
        <w:t>IT: ZG_OBERGERICHT Z1 2023 17 del 12 settembre 2023</w:t>
      </w:r>
    </w:p>
    <w:p>
      <w:pPr>
        <w:pStyle w:val="Heading2"/>
      </w:pPr>
      <w:r>
        <w:t>Regeste</w:t>
      </w:r>
    </w:p>
    <w:p>
      <w:r>
        <w:t>Forderung | Aktiengesellschaft</w:t>
      </w:r>
    </w:p>
    <w:p>
      <w:pPr>
        <w:pStyle w:val="Heading2"/>
      </w:pPr>
      <w:r>
        <w:t>Erwägungen</w:t>
      </w:r>
    </w:p>
    <w:p>
      <w:r>
        <w:rPr>
          <w:b/>
        </w:rPr>
        <w:t>E. 1</w:t>
      </w:r>
    </w:p>
    <w:p>
      <w:r>
        <w:t>Die örtliche, sachliche und funktionelle Zuständigkeit der angerufenen Gerichte ist (unbestrit- tenermassen) gegeben, weshalb diesbezüglich ohne Weiteres auf die zutreffenden Aus- führungen in E. 1 des angefochtenen Entscheids (act. 33) verwiesen werden kann (zur Zulässigkeit eines solchen Verweises vgl. Urteil des Bundesgerichts 5A_88/2020 vom 11. Februar 2021 E. 3.4 m.w.H.).</w:t>
      </w:r>
    </w:p>
    <w:p>
      <w:r>
        <w:rPr>
          <w:b/>
        </w:rPr>
        <w:t>E. 2</w:t>
      </w:r>
    </w:p>
    <w:p>
      <w:r>
        <w:t>Ferner ist in prozessualer Hinsicht vorab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die Beru-</w:t>
      </w:r>
    </w:p>
    <w:p>
      <w:r>
        <w:t>Seite 4/8 fungsklägerin aufzeigen, inwiefern und weshalb sie den angefochtenen Entscheid in tatsäch- licher oder rechtlicher Hinsicht als fehlerhaft erachtet bzw. weshalb (zulässige) Noven oder neue Beweismittel einen anderen Schluss aufdrängen. Um diesen Anforderungen nachzu- 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 dung muss hinreichend explizit sein, sodass sie von der Berufungsinstanz einfach nachvoll- zogen werden kann (vgl. Urteil des Bundesgerichts 4A_72/2021 vom 28. September 2021 E. 7.3.2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Gemäss Art. 310 ZPO können mit Berufung die unrichtige Rechtsanwendung (lit. a) und die unrichtige Feststellung des Sachverhalts (lit. b) geltend gemacht werden. Die Berufung er- möglicht demnach eine umfassende Überprüfung des erstinstanzlichen Entscheids. Dies be- deutet aber nicht, dass die Berufungsinstanz gehalten ist,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144 III 394 E. 4.1.4, 142 III 413 E. 2.2.4, je m.w.H.).</w:t>
      </w:r>
    </w:p>
    <w:p>
      <w:r>
        <w:rPr>
          <w:b/>
        </w:rPr>
        <w:t>E. 3</w:t>
      </w:r>
    </w:p>
    <w:p>
      <w:r>
        <w:t>Der Sachverhalt, auf den die Klägerin ihren Anspruch stützt, trug sich im Jahr 2020 zu. An- wendbar ist deshalb aArt. 678 OR in der bis zum 31. Dezember 2022 geltenden Fassung (Art. 1 der Übergangsbestimmungen zur Änderung vom 19. Juni 2020 i.V.m. Art.1 Abs. 1 SchlT ZGB). Dieser Artikel lautete wie folgt: Aktionäre und Mitglieder des Verwaltungsrates sowie diesen nahestehende Personen, die ungerechtfertigt und in bösem Glauben Dividen- den, Tantiemen, andere Gewinnanteile oder Bauzinse bezogen haben, sind zur Rückerstat- tung verpflichtet (Abs. 1). Sie sind auch zur Rückerstattung anderer Leistungen der Gesell- schaft verpflichtet, soweit diese in einem offensichtlichen Missverhältnis zur Gegenleistung und zur wirtschaftlichen Lage der Gesellschaft stehen (Abs. 2). Der Anspruch auf Rückerstat- tung steht der Gesellschaft und dem Aktionär zu; dieser klagt auf Leistung an die Gesell- schaft (Abs. 3). Die Pflicht zur Rückerstattung verjährt fünf Jahre nach Empfang der Leistung (Abs. 4). Gemäss Art. 800 OR (in der damaligen wie in der heutigen Fassung) sind die Vor- schriften des Aktienrechts für die Rückerstattung von Leistungen der Gesellschaft an Gesell- schafter, Geschäftsführer sowie diesen nahestehenden Personen entsprechend anwendbar.</w:t>
      </w:r>
    </w:p>
    <w:p>
      <w:r>
        <w:t>Seite 5/8 Die Rückerstattungspflicht für verdeckte Gewinnausschüttungen nach aArt. 678 Abs. 2 OR setzt unter anderem voraus, dass ein Missverhältnis sowohl zwischen Leistung und Gegen- leistung als auch zwischen Gewinnausschüttung und wirtschaftlicher Lage der Gesellschaft besteht. Diese Missverhältnisse müssen offensichtlich sein. Das heisst, sie müssen jedem, der gerecht und billig denkt und die konkreten Verhältnisse vernünftig beurteilt, in die Augen springen, weil eine vernünftige wirtschaftliche Begründung fehlt. Weiter ist vorausgesetzt, dass der Empfänger nicht gutgläubig und die Ausschüttung in Verletzung von Gesetz oder Statuten – mithin ungerechtfertigt – erfolgt ist (zum Ganzen vgl. BGE 140 III 602 E. 8.2, 9.3 und 10.1; Vogt, Basler Kommentar, 5. A. 2016, [a]Art. 678 OR N 13 und 19; je m.w.H.). Die Beweislast für das Vorliegen dieser Voraussetzungen trägt die Klägerin (Art. 8 ZGB; Vogt, a.a.O., [a]Art. 678 OR N 18).</w:t>
      </w:r>
    </w:p>
    <w:p>
      <w:r>
        <w:rPr>
          <w:b/>
        </w:rPr>
        <w:t>E. 4</w:t>
      </w:r>
    </w:p>
    <w:p>
      <w:r>
        <w:t>Die Vorinstanz wies die Klage unter anderem mit folgender Begründung ab: Die Klägerin behaupte, sie erziele bei Weiterverkäufen von Fahrzeugen in der Regel eine Gewinnmarge von 8 % oder mehr. Nachdem diese Aussage substanziiert bestritten worden sei, habe es die Klägerin unterlassen, detailliert und in Einzeltatsachen zergliedert auszu- führen, wie sie auf diese Marge von 8 % komme. In der Replik sei lediglich eine nicht näher begründete Anzahl von Autoverkäufen beschrieben worden, wobei in vier Fällen eine Ge- winnmarge von (weit) weniger als 8 % erzielt worden sei (Porsche Cayenne V6, Mini Cooper S, BMW M135i und Audi A3 2.0 TFSI) und in vier (bestrittenen) Fällen eine Gewinnmarge von mehr als 8 % resultiert habe (Lamborghini 724, Landrover Discovery, Audi RS3 SB 2.0 und Audi RS3 Quattro). Damit sei – selbst wenn man auf die Sachverhaltsdarstellung der Klägerin abstellen würde – nicht nachvollziehbar dargetan worden, wie die Klägerin auf eine "übliche Gewinnmarge" von 8 % gelange. Zudem gehe aus den klägerischen Ausführungen hervor, dass es offenbar in der Hälfte der Fälle vorgekommen sei, dass Fahrzeuge mit keiner Gewinnmarge oder mit einer Gewinnmarge von weniger als 8 % weiterveräussert worden seien. Den Rechtsschriften liessen sich keine weiteren Behauptungen zur Berechnung der üblichen Marge entnehmen und es würden Verweise auf allfällige aussagekräftige Buchhal- tungsunterlagen bzw. auf die Anzahl der jährlichen Fahrzeugtransaktionen samt erzieltem Gewinnanteil fehlen. Folglich sei die behauptete Gewinnmarge von 8 % nicht hinreichend substanziiert worden, weshalb ein allfälliger Gewinnanteil aus den Fahrzeugverkäufen nicht berechnet werden könne (act. 33 E. 3.4.1).</w:t>
      </w:r>
    </w:p>
    <w:p>
      <w:r>
        <w:rPr>
          <w:b/>
        </w:rPr>
        <w:t>E. 5</w:t>
      </w:r>
    </w:p>
    <w:p>
      <w:r>
        <w:t>Hiergegen wendet die Klägerin in der Berufung Folgendes ein:</w:t>
      </w:r>
    </w:p>
    <w:p>
      <w:r>
        <w:rPr>
          <w:b/>
        </w:rPr>
        <w:t>E. 5.1</w:t>
      </w:r>
    </w:p>
    <w:p>
      <w:r>
        <w:t>Die Vorinstanz meine, die klägerische Darstellung, wonach die Klägerin bei ihren Fahrzeug- verkäufen üblicherweise eine Gewinnmarge von 8 % erziele, sei nicht "nachvollziehbar dar- getan worden". Die Vorinstanz habe diese Einschätzung auf vier Fahrzeuggeschäfte bezo- gen, bei denen die übliche Gewinnmarge von 8 % nicht habe erzielt werden können (Porsche Cayenne V6, Mini Cooper S, BMW M135i sowie Audi A3 TFSI). Dabei habe die Vorinstanz jedoch ausser Acht gelassen, dass diese Verkaufsgeschäfte von H.________ und G.________ abgewickelt worden seien und bei den wirtschaftlich bedeutenderen Verkäufen die übliche Gewinnmarge von 8% sogar habe übertroffen werden können (act. 34 Rz 9.1).</w:t>
      </w:r>
    </w:p>
    <w:p>
      <w:r>
        <w:rPr>
          <w:b/>
        </w:rPr>
        <w:t>E. 5.2</w:t>
      </w:r>
    </w:p>
    <w:p>
      <w:r>
        <w:t>Der Verkauf des Porsche Cayenne sei aktenkundig am 15. Januar 2020 erfolgt. Dieses Ver- kaufsgeschäft sei vor der Einsetzung von I.________ als neuem Geschäftsführer der Kläge-</w:t>
      </w:r>
    </w:p>
    <w:p>
      <w:r>
        <w:t>Seite 6/8 rin von H.________ und G.________ ausgehandelt worden. Der Verkauf des Porsche Ca- yenne könne daher bei der Ermittlung der Gewinnmarge nicht als repräsentativ für die erziel- bare Marge betrachtet werden, was die Vorinstanz vollends ausser Acht lasse. Mit Bezug auf den BMW M135i xDrive ergebe sich aus der beklagtischen Beilage 20, dass H.________ und G.________ den Kaufvertrag unterzeichnet und den Verkauf an die P.________ GmbH ab- gewickelt hätten. Erneut habe es sich bei diesem Geschäft um ein nicht von I.________, der die Geschäftstätigkeit der Klägerin neu ausgerichtet habe, abgewickeltes Verkaufsgeschäft gehandelt. Der nicht gewinnbringende Verkauf des Mini Cooper S an Q.________ sei in aus- drücklicher Absprache mit allen Gesellschaftern als Entgegenkommen zugunsten der Schwester von I.________ erfolgt. Der Verkauf des an Zahlung genommenen Eintauschfahr- zeuges Audi A3 2.0 TFSI an die P.________ GmbH sei im Zusammenhang mit dem Verkauf des Audi RS3 SB Quattro an den Kunden R.________ erfolgt (act. 34 Rz 9.2-9.4).</w:t>
      </w:r>
    </w:p>
    <w:p>
      <w:r>
        <w:rPr>
          <w:b/>
        </w:rPr>
        <w:t>E. 5.3</w:t>
      </w:r>
    </w:p>
    <w:p>
      <w:r>
        <w:t>Demgegenüber habe die Klägerin dargelegt und mit Urkunden untermauert, dass unter der neuen Führung von I.________ ab Mai 2020 mit dem Verkauf der Fahrzeuge Audi S3, Lam- borghini 724 Huracan Spyder, Land Rover Discovery SP 2.0 und Audi RS3 Quattro Gewinnmargen von 9,5 % (Lamborghini), 11,6 % (Land Rover Discovery), 24 % (Audi RS3 Quattro) und 33 % (Audi S3) erzielt worden seien. Es habe sich bei diesen Verkaufsgeschäf- ten um die wirtschaftlich bedeutenderen Geschäfte mit relativ hohen Verkaufserlösen gehan- delt. Weiter sei erstellt und bewiesen, dass die Organe der Beklagten vollumfängliche Ein- sicht in alle Verkaufsverträge genommen hätten und ihnen mithin bekannt sei, dass die Klä- gerin die vorerwähnten Gewinnmargen erzielt habe. Es sei weiter erstellt, dass die mit der Einsetzung von I.________ als Geschäftsführer und der damit von der Klägerin eingeleiteten Neuausrichtung auf den Verkauf von Fahrzeugen anderer Marken als Porsche die übliche Gewinnmarge von 8% und sogar mehr erzielt worden sei. Die Vorinstanz habe somit wesent- liche Sachverhaltselemente (erzielte Gewinnmargen nach Einsetzung von I.________ als neuem Geschäftsführer bei den finanziell bedeutenderen Verkäufen, Neuausrichtung der Klägerin auf den Handel mit Fahrzeugen britischer und italienischer Provenienz und danach erzielte Gewinnmargen) ausser Acht gelassen und bei der Beurteilung der "Ungerechtfertigt- heit" der Leistung an die Beklagte falsche Rückschlüsse auf die von der Klägerin geltend ge- machte erzielbare und übliche Gewinnmarge von 8 % gezogen. Damit habe die Vorinstanz den Sachverhalt nicht richtig festgestellt und mit Bezug auf die von ihr getroffene Feststel- lung, wonach die Klägerin die Erzielung der üblichen Gewinnmarge von 8% nicht rechts- genüglich nachvollziehbar dargetan habe, unangemessen geurteilt (act. 34 Rz 9.5).</w:t>
      </w:r>
    </w:p>
    <w:p>
      <w:r>
        <w:rPr>
          <w:b/>
        </w:rPr>
        <w:t>E. 6</w:t>
      </w:r>
    </w:p>
    <w:p>
      <w:r>
        <w:t>Diese Einwände überzeugen nicht, und zwar aus folgenden Gründen:</w:t>
      </w:r>
    </w:p>
    <w:p>
      <w:r>
        <w:rPr>
          <w:b/>
        </w:rPr>
        <w:t>E. 6.1</w:t>
      </w:r>
    </w:p>
    <w:p>
      <w:r>
        <w:t>Die Klägerin geht mit keinem Wort auf die vorinstanzliche Erwägung ein, wonach Verweise auf aussagekräftige Buchhaltungsunterlagen oder auf die Anzahl der jährlichen Fahrzeug- transaktionen samt erzieltem Gewinnanteil fehlen würden. Völlig zu Recht hob nämlich die Vorinstanz damit hervor, dass vier Beispiele, bei denen die Gewinnmarge mehr als 8 % be- trug, nicht genügen, um zu beweisen, dass "üblicherweise" eine Marge von über 8 % erzielt wird. Wie viele Geschäfte die Beklagte getätigt hat und inwieweit die von ihr ausgewählten vier Beispiele überhaupt repräsentativ sind, bleibt ungewiss und unbewiesen. Aussagekräftig wären – wie die Vorinstanz zutreffend ausführte – Buchhaltungsunterlagen oder mindestens Angaben über die Anzahl (Gesamtzahl) der jährlichen Fahrzeugtransaktionen samt erzieltem</w:t>
      </w:r>
    </w:p>
    <w:p>
      <w:r>
        <w:t>Seite 7/8 Gewinnanteil. Darauf geht die Klägerin nicht ein. Mithin fehlt es in diesem wesentlichen Punkt an einer argumentativen Auseinandersetzung mit dem vorinstanzlichen Entscheid, sodass insoweit auf die Berufung gar nicht eingetreten werden kann (vgl. vorne E. 2.1).</w:t>
      </w:r>
    </w:p>
    <w:p>
      <w:r>
        <w:rPr>
          <w:b/>
        </w:rPr>
        <w:t>E. 6.2</w:t>
      </w:r>
    </w:p>
    <w:p>
      <w:r>
        <w:t>Nicht stichhaltig ist auch das Argument der Klägerin, die Vorinstanz habe die erzielten Ge- winnmargen nach Einsetzung von I.________ und die Neuausrichtung der Klägerin auf den Handel mit Fahrzeugen italienischer und britischer Provenienz nicht berücksichtigt. Wie die Klägerin nämlich selbst ausführt, seien "unter der neuen Führung von I.________ ab Mai 2020 mit dem Verkauf der Fahrzeuge Audi S3 […], Lamborghini 724 Huracan Spyder, Land Rover Discovery SP 2.0 [und] Audi RS3 Quattro" höhere Gewinnmargen erzielt worden (vgl. act. 34 Rz 9.5; Hervorhebung hinzugefügt). Die angeblich verdeckte Gewinnausschüttung erfolgte jedoch früher, nämlich im April 2020. Massgebend zur Bestimmung des Missverhältnisses zwischen Leistung und Gegenleistung ist dieser Zeitpunkt (vgl. Vogt, a.a.O., [a]Art. 678 OR N 14 m.w.H.). Mithin kann vorliegend zur Begründung oder zum Beweis der "Üblichkeit" einer Gewinnmarge von 8 % ohnehin nicht auf Geschäfte abgestellt werden, die erst "ab Mai 2020" abgeschlossen wurden. Behauptungen oder Beweisofferten für die bis oder im April 2020 üb- liche Gewinnmarge stellt die Klägerin (auch in der Berufung) keine auf. Aussagekräftige oder geeignete Behauptungen und Beweismittel fehlen.</w:t>
      </w:r>
    </w:p>
    <w:p>
      <w:r>
        <w:rPr>
          <w:b/>
        </w:rPr>
        <w:t>E. 6.3</w:t>
      </w:r>
    </w:p>
    <w:p>
      <w:r>
        <w:t>Der Klägerin ist auch mit dem Einwand, die Organe der Beklagten hätten "vollumfängliche Einsicht in alle Verkaufsverträge genommen" (act. 34 Rz 9.5), nicht geholfen. Zunächst ist unklar, was die Klägerin mit "alle Verkaufsverträge" meint, mithin ob sie damit auch weitere, von der Klägerin in ihren Rechtsschriften gerade nicht erwähnte Verträge meint. Selbst wenn sie dies hätte sagen wollen, ist ihr entgegenzuhalten, dass diesbezüglich nicht die Beklagte beweispflichtig ist, sondern die Klägerin. Auch wenn die Beklagte den entscheidrelevanten Sachverhalt (angeblich) kennt, obliegt es weiterhin der Klägerin, den anspruchsbegründen- den Sachverhalt zu behaupten und zu beweisen, sofern die Beklagte – wie hier – diesen substanziiert bestreitet.</w:t>
      </w:r>
    </w:p>
    <w:p>
      <w:r>
        <w:rPr>
          <w:b/>
        </w:rPr>
        <w:t>E. 7</w:t>
      </w:r>
    </w:p>
    <w:p>
      <w:r>
        <w:t>Nach dem Gesagten ist die Berufung abzuweisen, soweit darauf einzutreten ist. Auf die wei- teren Gründe, welche die Vorinstanz zur Abweisung der Klage anführte, und die von der Klä- gerin dagegen erhobenen Einwände ist daher nicht mehr einzugehen. Offenbleiben kann insbesondere auch die Frage, ob die angeblichen Sonderrabatte nur der Klägerin oder auch der Beklagten gewährt worden wären (vgl. act. 33 E. 3.4.2), zumal die Klägerin nicht einen Teil des erhaltenen Sonderrabatts geltend macht, sondern die "erzielbare Gewinnmarge von</w:t>
      </w:r>
    </w:p>
    <w:p>
      <w:r>
        <w:rPr>
          <w:b/>
        </w:rPr>
        <w:t>E. 8</w:t>
      </w:r>
    </w:p>
    <w:p>
      <w:r>
        <w:t>Bei diesem Ausgang des Verfahrens sind die Kosten des Berufungsverfahrens der Klägerin aufzuerlegen und diese ist zu verpflichten, der Beklagten eine angemessene Parteientschä- digung zu bezahlen (Art. 106 Abs. 1 ZPO). Beim vorliegend massgebenden Streitwert von CHF 56'111.70 (act. 34 Rz 4; § 15 Abs. 1 KoV OG) ist die Entscheidgebühr auf CHF 4'500.00 festzusetzen (§ 11 Abs. 1 KoV OG). Das von den Rechtsvertretern der Beklagten geltend gemachte Honorar von CHF 4'614.40 (inkl. Auslagen) ist bei diesem Streitwert angemessen und antragsgemäss zuzusprechen (§ 3</w:t>
      </w:r>
    </w:p>
    <w:p>
      <w:r>
        <w:t>Seite 8/8 Abs. 1 i.V.m. § 8 Abs. 1 und § 25 Abs. 2 AnwT). Die Hinzurechnung einer Mehrwertsteuer wurde ausdrücklich nicht verlangt.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