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46 vom 22. Mai 2025</w:t>
      </w:r>
    </w:p>
    <w:p>
      <w:r>
        <w:t>ZG Obergericht, 2025-05-22, DE</w:t>
      </w:r>
    </w:p>
    <w:p>
      <w:r>
        <w:rPr>
          <w:b/>
        </w:rPr>
        <w:t xml:space="preserve">Quelle: </w:t>
      </w:r>
      <w:r>
        <w:t>https://mcp.opencaselaw.ch/entscheid/zg_obergericht_BZ_2025_46</w:t>
      </w:r>
    </w:p>
    <w:p>
      <w:r>
        <w:t>FR: ZG_OBERGERICHT BZ 2025 46 du 22 mai 2025</w:t>
      </w:r>
    </w:p>
    <w:p>
      <w:r>
        <w:t>IT: ZG_OBERGERICHT BZ 2025 46 del 22 maggio 2025</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inkl. Zinsen und Kosten weder getilgt noch gestundet (Art. 172 Ziff. 3 SchKG). Die Vorinstanz war daher verpflichtet, dem Konkursbegehren ohne Weiteres stattzugeben und über das in der Schweiz gelegene Vermögen der Beschwerdeführerin den Konkurs zu eröff- 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w:t>
      </w:r>
    </w:p>
    <w:p>
      <w:r>
        <w:t>Seite 3/6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rPr>
          <w:b/>
        </w:rPr>
        <w:t>E. 3</w:t>
      </w:r>
    </w:p>
    <w:p>
      <w:r>
        <w:t>März 2025, mithin vor Konkurseröffnung, einen Betrag von CHF 1'906.40 an das Betrei- bungsamt Cham überwiesen hat (vgl. act. 1/3). Weiter überwies sie am 11. April 2025 – nach Konkurseröffnung, aber innerhalb der zehntätigen Rechtsmittelfrist – von ihrem Konto bei der H.________ einen Betrag von CHF 188.85 an das Betreibungsamt Cham (act. 1/4). Gemäss bundesgerichtlicher Rechtsprechung ist eine Tilgung der Schuld beim Betreibungsamt im Sinne von Art. 12 SchKG bis zum Ablauf der Beschwerdefrist möglich. Auch wenn es von der zeitlichen Abfolge her nach der erstinstanzlichen Konkurseröffnung an sich keine Speziale- xekution mehr gibt – so das Bundesgericht –, hat Art. 174 Abs. 2 Ziff. 1 SchKG offensichtlich nicht nur die direkte Bezahlung an den Gläubiger im Auge (vgl. Urteil des Bundesgerichts 5A_865/2013 vom 21. Januar 2014 E. 3). Schliesslich hinterlegte die Beschwerdeführerin am 22. April 2025 bei der Gerichtskasse einen Betrag von CHF 200.00 zugunsten der Be- schwerdegegnerin (act. 1/8). Die Forderung der Beschwerdegegnerin inkl. Zinsen und Kos- ten von CHF 2'095.25 ist somit gedeckt und die in Art. 174 Abs. 2 Ziff. 1 und Ziff. 2 erwähn- ten Konkursaufhebungsgründe sind gegeben. Da die Zahlung des Restbetrages von CHF 188.85 erst nach der Konkurseröffnung erfolgte, ist eine vollständige Begleichung der Schuld inkl. Zinsen und Kosten vor Konkurseröffnung nicht nachgewiesen. Im Folgenden bleibt daher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w:t>
      </w:r>
    </w:p>
    <w:p>
      <w:r>
        <w:t>Seite 4/6 Zeit als illiquid erscheint. Die Beurteilung der Zahlungsfähigkeit beruht auf einem aufgrund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Zur Zahlungsfähigkeit der Beschwerdeführerin ist Folgendes festzuhalten:</w:t>
      </w:r>
    </w:p>
    <w:p>
      <w:r>
        <w:rPr>
          <w:b/>
        </w:rPr>
        <w:t>E. 5.1</w:t>
      </w:r>
    </w:p>
    <w:p>
      <w:r>
        <w:t>Gemäss dem von der Beschwerdeführerin eingereichten Betreibungsregisterauszug des Be- treibungsamtes Cham vom 9. April 2025 wurden gegen sie – nebst der Betreibung der Be- schwerdegegnerin, die zur Konkurseröffnung geführt hat und mittlerweile durch Zahlung des geschuldeten Betrages erledigt ist – seit Juni 2024 total 26 Betreibungen über insgesamt CHF 507'683.04 angehoben (act. 1/7). Davon sind 23 Betreibungen über CHF 61'563.11 durch Zahlung an das Betreibungsamt bzw. an Gläubiger erledigt. Eine Betreibung über CHF 1'377.92 befindet sich im Stadium der Konkursandrohung (Nr. I.________), bei einer weiteren Betreibung über CHF 3'932.01 wurde der Zahlungsbefehl zugestellt (Nr. J.________) und eine Betreibung über CHF 440'810.00 ist durch Rechtsvorschlag ge- hemmt (Nr. F.________). Die Betreibungen über CHF 1'377.92 und CHF 3'932.01 wurden mittlerweile bezahlt (vgl. act. 1 Rz 21) und die betreibende Inkassofirma hat mit Schreiben vom 17. April 2025 beim Betreibungsamt Cham die Löschung der Betreibungen Nrn. J.________ und I.________ beantragt (vgl. act. 1/13). Offen ist somit einzig noch die Betreibung Nr. F.________ der K.________ AG über CHF 440'810.00. Die Beschwerdefüh- rerin führt dazu aus, die Betreibung entstamme aus einer Vertragsstreitigkeit. Die K.________ AG sei beauftragt gewesen, für sie eine Anlage zu bauen. Sie (die Beschwerde- führerin) habe schon Zahlungen in Höhe von CHF 5,6 Mio. geleistet, die Anlage sei aber im- mer noch nicht fertiggestellt. Zudem bestünden unzählige Mängel, welche die K.________ AG nicht behebe. Sie sei daran, mit der K.________ AG eine Einigung zu fin- den. Die Aktionäre seien bereit, allfällige Beträge, die im Rahmen einer Einigung an die K.________ AG noch fliessen müssten, zu übernehmen (vgl. act. 1 Rz 20, act. 1/10-12). Bei dieser Sachlage kann die offene Betreibung über CHF 440'810.00 einstweilen ausser Acht gelassen werden.</w:t>
      </w:r>
    </w:p>
    <w:p>
      <w:r>
        <w:rPr>
          <w:b/>
        </w:rPr>
        <w:t>E. 5.2</w:t>
      </w:r>
    </w:p>
    <w:p>
      <w:r>
        <w:t>Die Beschwerdeführerin verfügt gemäss Zwischenbilanz per 10. April 2025 (act. 1/14) über Aktiven in der Höhe von CHF 6'866'637.04, wobei allein die Produktionsanlagen in L.________ und M.________ mit einem Wert von CHF 6'452'988.01 bilanziert sind. Das kurzfristige Fremdkapital beläuft sich auf CHF 2'094'281.40, bestehend aus Verbindlichkeiten aus Lieferungen und Leistungen von CHF 345'682.11, kurzfristigen Verbindlichkeiten von CHF 1'552'130.55 (Darlehen), übrigen kurzfristigen Verbindlichkeiten von CHF 46'371.71 und "Verbindlichkeiten Sozialversicherungen" von CHF 242'840.45. Langfristiges Fremdkapital besteht keines. Das Eigenkapital beträgt CHF 7'062'347.16. Die Aktiven vermögen demnach die Schulden zu decken.</w:t>
      </w:r>
    </w:p>
    <w:p>
      <w:r>
        <w:t>Seite 5/6</w:t>
      </w:r>
    </w:p>
    <w:p>
      <w:r>
        <w:rPr>
          <w:b/>
        </w:rPr>
        <w:t>E. 5.3</w:t>
      </w:r>
    </w:p>
    <w:p>
      <w:r>
        <w:t>In den letzten beiden Jahren hat die Beschwerdeführerin einen Verlust erlitten (vgl. act. 1/15- 16). Grund dafür sei, so die Beschwerdeführerin, dass ehemalige Aktionäre potenzielle Ver- untreuungshandlungen begangen hätten. Gemäss den ihr vorliegenden Informationen hätten Investoren den ehemaligen Aktionären der Beschwerdeführerin, den Herren N.________ und O.________, Bargeld im Gesamtbetrag von CHF 1'496'000.00 übergeben. Dieses Geld sei für die Beschwerdeführerin bestimmt gewesen, jedoch von den Herren N.________ bzw. O.________ nie an die Beschwerdeführerin weitergeleitet worden. Aufgrund der – potenziell – strafrechtlichen Handlungen der Vorbesitzer sei ein Defizit entstanden. Die neuen Besitzer wollten nun mit der Weiterführung des Geschäfts und durch zivil- und strafrechtliche Verfol- gung der vorherigen Besitzer erreichen, dass die Gesellschaft wieder Gewinn mache (vgl. act. 1 Rz 17 und 24).</w:t>
      </w:r>
    </w:p>
    <w:p>
      <w:r>
        <w:rPr>
          <w:b/>
        </w:rPr>
        <w:t>E. 5.4</w:t>
      </w:r>
    </w:p>
    <w:p>
      <w:r>
        <w:t>Die Beschwerdeführerin geht von Kreditoren in Höhe von CHF 361'694.74 aus (vgl. act. 1 Rz 25, act. 1/17). Sie weist darauf hin, dass die neuen Aktionäre der Gesellschaft bereits sehr viele Darlehen gegeben hätten und auch weiterhin bereit seien, zusätzliche Darlehen zu geben. Die neuen Aktionäre hätten im Januar 2025 EUR 20'000.00 und CHF 182'122.10, im Februar 2025 EUR 92'000.00 und CHF 184'585.42 sowie im März 2025 EUR 200'000.00 und CHF 70'783.50 auf die Konten der Beschwerdeführerin bei der G.________ überwiesen (vgl. act. 1 Rz 26). Diese Zahlen sind durch die entsprechenden Kontoauszüge belegt (vgl. act. 1/19-24). Zudem liegt eine schriftliche Erklärung der neuen Aktionäre vor, wonach diese bereit seien, der Gesellschaft bei Bedarf kurzfristige Darlehen zur Verfügung zu stellen, um bestehende und absehbare Verpflichtungen fristgerecht erfüllen zu können. Weiter sei be- reits ab Mai 2025 mit der Aufnahme der regulären Geschäftstätigkeit und damit einer nach- haltigen operativen Ertragsgenerierung zu rechnen. Das Unternehmen werde voraussichtlich in der Lage sein, seinen laufenden Finanzbedarf mittelfristig ohne weitere Fremdmittel zu de- cken (act. 1/18). Schliesslich erklärt die Beschwerdeführerin, sie werde ab Juni 2025 wieder schwarze Zahlen schreiben. Dass es im Jahre 2025 noch keine Einnahmen gegeben habe, liege daran, dass sie erst in ca. 2 Wochen (ab Einreichung der Beschwerde) erstmals seit der Umstrukturierung wieder Pflanzen ernten und damit Einnahmen generieren könne (vgl. act. 1 Rz 28).</w:t>
      </w:r>
    </w:p>
    <w:p>
      <w:r>
        <w:rPr>
          <w:b/>
        </w:rPr>
        <w:t>E. 5.5</w:t>
      </w:r>
    </w:p>
    <w:p>
      <w:r>
        <w:t>Aufgrund dieser Angaben und Belege rechtfertigt sich die Annahme, dass die Beschwerde- führerin trotz der dünnen Liquidität in Zukunft profitabel operieren, ihren laufenden Verpflich- tungen nachkommen und die offenen Verpflichtungen in absehbarer Zeit tilgen kann. Der Beschwerdeführerin kann die Überlebensfähigkeit jedenfalls nicht von vornherein abgespro- chen werden. Bei grosszügiger Betrachtungsweise ist daher die Zahlungsfähigkeit der Be- schwerdeführerin glaubhaft gemacht. Allerdings muss sich diese im Klaren sein, dass bei einem erneuten Konkursfall höhere Anforderungen an die Glaubhaftmachung der Zahlungs- fähigkeit gestellt würden.</w:t>
      </w:r>
    </w:p>
    <w:p>
      <w:r>
        <w:rPr>
          <w:b/>
        </w:rPr>
        <w:t>E. 6</w:t>
      </w:r>
    </w:p>
    <w:p>
      <w:r>
        <w:t>Die Voraussetzungen, unter denen die II. Beschwerdeabteilung im Rechtsmittelverfahren die Konkurseröffnung aufheben kann, sind im vorliegenden Fall erfüllt. Die Beschwerde erweist sich als begründet. Sie ist daher gutzuheissen und das Konkursdekret ist aufzuheben.</w:t>
      </w:r>
    </w:p>
    <w:p>
      <w:r>
        <w:rPr>
          <w:b/>
        </w:rPr>
        <w:t>E. 7</w:t>
      </w:r>
    </w:p>
    <w:p>
      <w:r>
        <w:t>Trotz dieses Ausgangs des Beschwerdeverfahrens hat die Beschwerdeführerin die Kosten des erst- und zweitinstanzlichen Verfahrens zu tragen. Wie erwähnt, erging das Konkurs- dekret damals zu Recht. Die Beschwerdeführerin hat die Voraussetzungen für dessen Auf-</w:t>
      </w:r>
    </w:p>
    <w:p>
      <w:r>
        <w:t>Seite 6/6 hebung erst im Nachhinein geschaffen. Sie hat damit das Beschwerdeverfahren verursacht, weshalb sie auch für diese Kosten einzustehen hat (Art. 107 Abs. 1 lit. f ZPO). Hingegen hat sie die Beschwerdegegnerin schon mangels eines Antrags nicht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