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25 vom 15. April 2025</w:t>
      </w:r>
    </w:p>
    <w:p>
      <w:r>
        <w:t>ZG Obergericht, 2025-04-15, DE</w:t>
      </w:r>
    </w:p>
    <w:p>
      <w:r>
        <w:rPr>
          <w:b/>
        </w:rPr>
        <w:t xml:space="preserve">Quelle: </w:t>
      </w:r>
      <w:r>
        <w:t>https://mcp.opencaselaw.ch/entscheid/zg_obergericht_BZ_2025_25</w:t>
      </w:r>
    </w:p>
    <w:p>
      <w:r>
        <w:t>FR: ZG_OBERGERICHT BZ 2025 25 du 15 avril 2025</w:t>
      </w:r>
    </w:p>
    <w:p>
      <w:r>
        <w:t>IT: ZG_OBERGERICHT BZ 2025 25 del 15 aprile 2025</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Seite 3/7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hat gemäss Zahlungsbelegen der H.________ mit Valuta vom 25. Februar 2025 einen Betrag von CHF 10'097.45 und mit Valuta vom 27. Februar 2025 einen Betrag von CHF 200.00 an das Betreibungsamt Baar zuhanden der Beschwerdegeg- nerin überwiesen (act. 1/4-6). Gemäss bundesgerichtlicher Rechtsprechung ist eine Tilgung der Schuld beim Betreibungsamt im Sinne von Art. 12 SchKG bis zum Ablauf der Beschwer- defrist möglich. Auch wenn es von der zeitlichen Abfolge her nach der erstinstanzlichen Kon- kurseröffnung an sich keine Spezialexekution mehr gibt – so das Bundesgericht –, hat Art. 174 Abs. 2 Ziff. 1 SchKG offensichtlich nicht nur die direkte Bezahlung an den Gläubiger im Auge (vgl. Urteil des Bundesgerichts 5A_865/2013 vom 21. Januar 2014 E. 3). Damit ist der Nachweis erbracht, dass die Forderung der Beschwerdegegnerin in Höhe von CHF 10'230.50 gedeckt und der in Art. 174 Abs. 2 Ziff. 1 SchKG erwähnte Konkursaufhe- bungsgrund gegeben ist. Soweit die Beschwerdeführerin vorbringt, es sei nur wegen einer um wenige Stunden zu spät erfolgten Verbuchung der Zahlung der Kosten von CHF 200.00 beim Betreibungsamt Baar zu der Konkurseröffnung gekommen, ist darauf hinzuweisen, dass gemäss Art. 172 Ziff. 3 SchKG die Schuld, Zinsen und Kosten inbegriffen [Hervorhebung hinzugefügt], bis zur Kon- kursverhandlung getilgt sein muss, damit das erstinstanzliche Konkursgericht das Konkurs- begehren abweisen kann. Vorliegend hat die Beschwerdeführerin nicht nachgewiesen, dass sie die Schuld inkl. Zinsen Kosten vollumfänglich vor der Konkurseröffnung vom 25. Februar 2025, 15.15 Uhr, beglichen hat. Dies räumt sie denn auch selber ein (vgl. act. 1 Rz 6 und act. 6 Rz 1). Nach der Praxis des Obergerichts des Kantons Zug wird bei Überweisungen via E-Banking auf den Zeitpunkt der Belastung des Senderkontos abgestellt, da ein Schuldner den Zeitpunkt des Zahlungseingangs beim Gläubiger im Allgemeinen nicht nachzuweisen vermag (vgl. Urteil des Obergerichts Zug BZ 2024 62 vom 4. Juli 2024 E. 1.1). Die Zahlung des Restbetrages von CHF 200.00 wurde erst am 27. Februar 2025 und damit nach der Kon- kurseröffnung auf dem Konto der Beschwerdeführerin abgebucht (vgl. act. 1/6). Damit ist eine vollständige Begleichung der Schuld inkl. Zinsen und Kosten vor Konkurseröffnung nicht nachgewiesen. Im Folgenden bleibt daher zu prüfen, ob die Beschwerdeführerin ihre Zah- 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Seite 4/7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Gemäss dem von der Beschwerdeführerin eingereichten Betreibungsregisterauszug des Be- treibungsamtes Baar vom 5. März 2025 (act. 1/7) wurden gegen sie – nebst der Betreibung der Beschwerdegegnerin, die zur Konkurseröffnung geführt hat und mittlerweile durch Zah- lung des geschuldeten Betrags erledigt ist – seit Dezember 2021 vier Betreibungen über ins- gesamt CHF 353'291.06 angehoben. Die Forderung aus der Betreibung Nr. F.________ über CHF 5'650.00, die sich im Stadium der Konkursandrohung befand, wurde nachweislich getilgt (act. 1/10). Die Betreibung Nr. G.________ für eine Forderung von CHF 2'656.41, welche durch Rechtsvorschlag gehemmt ist, soll gemäss Darstellung der Beschwerdeführerin "nicht mehr aktuell" sein (vgl. act. 1 Rz 8e). Zugunsten der Beschwerdeführerin ist sie daher einst- weilen ausser Acht zu lassen. Bezüglich der Betreibungen Nrn. I.________ und J.________ über CHF 344'984.65, welche ebenfalls durch Rechtsvorschlag gehemmt sind, macht die Beschwerdeführerin geltend, sie verhandle mit der Gläubigerin wegen wechselseitiger Forde- rungen und verfüge über Gegenforderungen in mindestens der gleichen Höhe (vgl. act. 1 Rz 8b) bzw. in der Höhe von CHF 150'000.00 (vgl. act. 6 Rz 3), die sie zur Verrechnung stel- le. Es ist aber gerichtsnotorisch, dass die Beschwerdeführerin mit Urteil des Kantonsgerichts Zug vom 27. April 2023 verpflichtet wurde, der betreffenden Gläubigerin CHF 141'128.38 nebst Zins zu 5 % auf CHF 6'029.48 seit 10. August 2021 und auf CHF 135'098.90 seit 3. November 2021 sowie die Betreibungskosten von CHF 414.60 zu bezahlen (Verfahren A3 2020 20). Die I. Zivilabteilung des Obergerichts Zug bestätigte diesen Entscheid am Seite 5/7</w:t>
      </w:r>
    </w:p>
    <w:p>
      <w:r>
        <w:rPr>
          <w:b/>
        </w:rPr>
        <w:t>E. 5.2</w:t>
      </w:r>
    </w:p>
    <w:p>
      <w:r>
        <w:t>Die Beschwerdeführerin hat nach eigenen Angaben per 1. März 2025 weitere fällige Verbind- lichkeiten in Höhe von CHF 7'078.00. Es handelt sich um die Miete für das Domizil in Baar von CHF 40.00, die Telefonkosten von CHF 103.00, die Hallenmiete von CHF 671.00, eine weitere Parteientschädigung an die Beschwerdegegnerin in Höhe von CHF 3'000.00 sowie den Lohn und die Sozialabgaben für den Verwaltungsrat der Beschwerdeführerin von CHF 3'264.00 (vgl. act. 1 Rz 9). Damit erhöhen sich die Schulden auf insgesamt rund CHF 207'000.00.</w:t>
      </w:r>
    </w:p>
    <w:p>
      <w:r>
        <w:rPr>
          <w:b/>
        </w:rPr>
        <w:t>E. 5.3</w:t>
      </w:r>
    </w:p>
    <w:p>
      <w:r>
        <w:t>Die Beschwerdeführerin behauptet, es seien ausreichend finanzielle Mittel vorhanden, um die Fortführung des Geschäftsbetriebs und ihr Fortbestehen zu gewährleisten (vgl. act. 1 Rz 11). Zur Glaubhaftmachung dieser Behauptung reichte sie – nebst den einzelnen Konto- auszügen per 3. März 2025 – das Vermögensverzeichnis der H.________ vom 5. März 2025 ein. Danach verfügte die Beschwerdeführerin per 28. Februar 2025 über liquide Mittel und Wertschriften von insgesamt CHF 95'187.02 (vgl. act. 1/15). Sodann führte die Beschwerde- führerin in der Beschwerdeschrift aus, ihr Alleinaktionär und Verwaltungsrat, K.________, habe sich zwecks weiterer Stärkung der Liquidität entschlossen, ihr aus seinem Guthaben in der dritten Säule ein Darlehen mit Rangrücktritt über CHF 21'304.70 zu gewähren. Dazu liegt ein schriftlicher Darlehensvertrag vom 21. Februar 2025 bei den Akten. Demgemäss gewähr- te K.________ der Beschwerdeführerin ein unbefristetes, sofort auszuzahlendes Darlehen in Höhe von CHF 21'304.70 (vgl. act. 1/17). Weiter macht die Beschwerdeführerin geltend, sie habe Anfang Februar 2025 vier Fahrzeuge aus ihrem Anlagevermögen verkauft. Ein Teil des Verkaufspreises stehe noch aus und sei fällig. Es würden noch CHF 14'800.00 fliessen (vgl. act. 1 Rz 10h). Zu den behaupteten Verkaufsgeschäften liegen vier Verträge über den Ver- kauf der Occasionsfahrzeuge vor (vgl. act. 1/17-18). Wann die Zahlungen für die verkauften Fahrzeuge noch eintreffen werden, erschliesst sich aus den vorliegenden Unterlagen indes nicht. Mit den (belegten) finanziellen Mitteln von ca. CHF 95'000.00 kann die Beschwerdefüh- rerin ihre fälligen Schulden in Höhe von rund CHF 207'000.00 – auch unter Berücksichtigung eines Darlehens ihres Verwaltungsrates über CHF 21'304.70 – offensichtlich nicht beglei- chen.</w:t>
      </w:r>
    </w:p>
    <w:p>
      <w:r>
        <w:rPr>
          <w:b/>
        </w:rPr>
        <w:t>E. 5.4</w:t>
      </w:r>
    </w:p>
    <w:p>
      <w:r>
        <w:t>Insgesamt vermag die Beschwerdeführerin somit nicht glaubhaft zu machen, dass sie in der Lage ist, nebst den laufenden Verbindlichkeiten die offenen, in Betreibung gesetzten Schul- den innert angemessener Frist abzutragen. Es kann deshalb nicht davon ausgegangen wer- den, dass die Konkurseröffnung bloss auf eine vorübergehende Illiquidität zurückzuführen ist. Die Beschwerdeführerin gilt daher als zahlungsunfähig, was zur Abweisung der Beschwerde führt. Da der Beschwerde keine aufschiebende Wirkung zuerkannt wurde, muss das Datum Seite 6/7 der Konkurseröffnung nicht neu auf den Zeitpunkt des vorliegenden Beschwerdeentscheids festgesetzt werden. Es bleibt beim Entscheid der Einzelrichterin, wonach der Konkurs am 25. Februar 2025 eröffnet wurde. 6. Die Beschwerdeführerin ist aber auf Art. 195 SchKG hinzuweisen, wonach die Möglichkeit eines nachträglichen Widerrufs des Konkurses durch das Konkursgericht besteht, wenn nachgewiesen wird, dass sämtliche Forderungen beglichen sind oder von jedem Gläubiger eine schriftliche Erklärung über den Rückzug seiner Konkurseingabe vorliegt oder ein Nach- lassvertrag zustande gekommen ist (Art. 332 Abs. 3 SchKG; vgl. dazu Diggelmann, in: Hunkeler [Hrsg.], Kurzkommentar, 2. A. 2014, Art. 195 SchKG N 3, 3a und 5). 7. Ausgangsgemäss sind die Kosten des Beschwerdeverfahrens der Beschwerdeführerin auf- zuerlegen und mit dem von ihr geleisteten Kostenvorschuss zu verrechnen (Art. 106 Abs. 1 und Art. 111 Abs. 1 ZPO). Der Restbetrag ist zuhanden der Konkursmasse an das Konkur- samt Zug zu überweisen. ________________________ Seite 7/7 Urteilsspruch</w:t>
      </w:r>
    </w:p>
    <w:p>
      <w:r>
        <w:rPr>
          <w:b/>
        </w:rPr>
        <w:t>E. 8</w:t>
      </w:r>
    </w:p>
    <w:p>
      <w:r>
        <w:t>Mai 2024 auf Berufung der Beschwerdeführerin hin (Verfahren Z1 2023 21) und das Bun- desgericht wies am 27. September 2024 die gegen dieses Urteil gerichtete Beschwerde ab (Verfahren 4A_335/2024). Allein aus diesen Verfahren schuldet somit die Beschwerdeführe- rin der betreffenden Gläubigerin einschliesslich Zins, Kosten und Parteientschädigung rund CHF 200'000.00. Zum Nachweis der behaupteten Gegenforderungen legt die Beschwerde- führerin Lieferscheine, Rechnungen sowie ein (undatiertes) Schreiben an die Gläubigerin vor (vgl. act. 1/8). Diese Belege sind jedoch nicht zur Glaubhaftmachung der entsprechenden Gegenforderung geeignet, weshalb eine Tilgung durch Verrechnung nicht rechtsgenügend dargetan ist. Insgesamt ist damit von offenen Betreibungsforderungen im Umfang von CHF 200'000.00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