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112 vom 4. November 2025</w:t>
      </w:r>
    </w:p>
    <w:p>
      <w:r>
        <w:t>ZG Obergericht, 2025-11-04, DE</w:t>
      </w:r>
    </w:p>
    <w:p>
      <w:r>
        <w:rPr>
          <w:b/>
        </w:rPr>
        <w:t xml:space="preserve">Quelle: </w:t>
      </w:r>
      <w:r>
        <w:t>https://mcp.opencaselaw.ch/entscheid/zg_obergericht_BZ_2025_112</w:t>
      </w:r>
    </w:p>
    <w:p>
      <w:r>
        <w:t>FR: ZG_OBERGERICHT BZ 2025 112 du 4 novembre 2025</w:t>
      </w:r>
    </w:p>
    <w:p>
      <w:r>
        <w:t>IT: ZG_OBERGERICHT BZ 2025 112 del 4 novembre 2025</w:t>
      </w:r>
    </w:p>
    <w:p>
      <w:pPr>
        <w:pStyle w:val="Heading2"/>
      </w:pPr>
      <w:r>
        <w:t>Regeste</w:t>
      </w:r>
    </w:p>
    <w:p>
      <w:r>
        <w:t>II. Beschwerdeabteilung</w:t>
      </w:r>
    </w:p>
    <w:p>
      <w:pPr>
        <w:pStyle w:val="Heading2"/>
      </w:pPr>
      <w:r>
        <w:t>Erwägungen</w:t>
      </w:r>
    </w:p>
    <w:p>
      <w:r>
        <w:rPr>
          <w:b/>
        </w:rPr>
        <w:t>E. 1</w:t>
      </w:r>
    </w:p>
    <w:p>
      <w:r>
        <w:t>Gemäss Art. 172 Ziff. 3 SchKG weist das Gericht das Konkursbegehren ab, wenn der Schuldner durch Urkunden beweist, dass die Schuld, Zinsen und Kosten inbegriffen, getilgt ist oder dass der Gläubiger ihm Stundung gewährt hat. Das Gesetz verlangt mithin den Ur- kundenbeweis, blosses Glaubhaftmachen reicht nicht aus. Ebenso wenig genügen andere Beweismittel als Urkunden, ausser die Gläubigerin gibt die Tilgung oder die Stundung vor dem Konkursgericht selbst zu. Die Beweismittel sind erstinstanzlich sofort und im Falle einer Weiterziehung innert der zehntägigen Rechtsmittelfrist einzureichen (vgl. Giroud/Theus Si- moni, Basler Kommentar, 3. A. 2021, Art. 172 SchKG N 8).</w:t>
      </w:r>
    </w:p>
    <w:p>
      <w:r>
        <w:rPr>
          <w:b/>
        </w:rPr>
        <w:t>E. 1.1</w:t>
      </w:r>
    </w:p>
    <w:p>
      <w:r>
        <w:t>Die Beschwerdeführerin macht geltend, sie habe die strittige Forderung von CHF 543.55 be- reits bezahlt. Dennoch habe sie an der Konkursverhandlung vom 19. August 2025 angebo- ten, den Betrag nochmals in bar zu bezahlen und sämtliche Gerichtskosten sofort zu über- nehmen, um die Angelegenheit zu erledigen. Trotzdem habe ihr die Vorinstanz das rechtliche Gehör verweigert, die Anhörung nach wenigen Minuten beendigt und sowohl die Unterlagen als auch die Vergleichsangebote zurückgewiesen (vgl. act. 1 S. 4 und 9).</w:t>
      </w:r>
    </w:p>
    <w:p>
      <w:r>
        <w:rPr>
          <w:b/>
        </w:rPr>
        <w:t>E. 1.2</w:t>
      </w:r>
    </w:p>
    <w:p>
      <w:r>
        <w:t>Die Vorinstanz hält dem entgegen, den Vertretern der Beschwerdeführerin sei an der Ver- handlung vom 19. August 2025 das rechtliche Gehör gewährt worden und es sei ihnen wie- derholt erklärt worden, dass die vorgelegten Bankauszüge aus dem Jahr 2024 keinen Beleg für die Zahlung der Forderung gemäss Vorladung vom 6. Juni 2025 (CHF 1'080.50) darstel- len würden. Eine Tilgung der betriebenen Forderung im Jahr 2024 hätte zudem durch Rechtsvorschlag gegen den Zahlungsbefehl vom 4. Februar 2025 (oder eine negative Fest- stellungsklage) geltend gemacht werden müssen. Die Beschwerdeführerin habe diese Bank- auszüge auch mit der Beschwerde nicht eingereicht, sondern den Betrag von CHF 1'080.50 bei der Gerichtskasse hinterlegt. Die Beschwerdeführerin habe auch nicht erklärt, den Betrag sofort zu bezahlen. Im Übrigen sei die Beschwerdeführerin mit Vorladung vom 6. Juni 2025 darauf aufmerksam gemacht worden, dass die Zahlung des Totals an den Gläubiger zu rich- ten und beim Gericht durch einen Zahlungsbeleg spätestens an der Konkursverhandlung nachzuweisen sei. Ebenfalls sei die Beschwerdeführerin mit der Vorladung darauf hingewie- sen worden, dass das Konkursgericht keine Barzahlung entgegennehme (vgl. act. 6).</w:t>
      </w:r>
    </w:p>
    <w:p>
      <w:r>
        <w:rPr>
          <w:b/>
        </w:rPr>
        <w:t>E. 1.3</w:t>
      </w:r>
    </w:p>
    <w:p>
      <w:r>
        <w:t>Im vorinstanzlichen Verfahren erbrachte die Beschwerdeführerin den urkundlichen Beweis nicht, dass sie die Schuld inkl. Zinsen und Kosten bereits vor der Konkursverhandlung vollständig bezahlt hat. Es genügte nicht, wenn sie – gemäss ihrer Darstellung – an der Kon- kursverhandlung angeboten hat, den Betrag nochmals bar zu bezahlen und sämtliche Ge-</w:t>
      </w:r>
    </w:p>
    <w:p>
      <w:r>
        <w:t>Seite 4/7 richtskosten zu übernehmen. Erforderlich ist ein Urkundenbeweis der Tilgung der Schuld inkl. Zinsen und Kosten, und zwar spätestens an der Konkursverhandlung. In der Vorladung zur Konkursverhandlung wurde die Beschwerdeführerin ausdrücklich darauf aufmerksam ge- macht, dass die Zahlung des Totals an den Gläubiger zu richten und beim Gericht durch einen Zahlungsbeleg (beispielsweise durch eine Postquittung oder eine Belastungsanzeige einer Bank) nachzuweisen ist, am besten vor der Konkursverhandlung, spätestens aber an der Konkursverhandlung um 9 Uhr. Weiter wurde die Beschwerdeführerin darauf hingewie- sen, dass das Gericht keine Barzahlungen entgegennimmt (vgl. Vi act. 3).</w:t>
      </w:r>
    </w:p>
    <w:p>
      <w:r>
        <w:rPr>
          <w:b/>
        </w:rPr>
        <w:t>E. 1.4</w:t>
      </w:r>
    </w:p>
    <w:p>
      <w:r>
        <w:t>Im Beschwerdeverfahren reicht nun die Beschwerdeführerin zum Nachweis der behaupteten Zahlung vor Konkurseröffnung verschiedene Belege ein. Aus diesen geht aber nicht hervor, dass die strittige Forderung bereits vor Konkurseröffnung vollumfänglich beglichen wurde (vgl. Anhang A). Mangels eines Zahlungsnachweises kann daher nicht davon ausgegangen werden, dass die strittige Forderung bereits vor Konkurseröffnung vollständig beglichen wur- de, wie die Beschwerdeführerin behauptet.</w:t>
      </w:r>
    </w:p>
    <w:p>
      <w:r>
        <w:rPr>
          <w:b/>
        </w:rPr>
        <w:t>E. 1.5</w:t>
      </w:r>
    </w:p>
    <w:p>
      <w:r>
        <w:t>Demnach waren die Voraussetzungen zur Konkurseröffnung im Zeitpunkt des vorinstanzli- chen Entscheids erfüllt und die Vorinstanz war verpflichtet, dem Konkursbegehren ohne Wei- teres stattzugeben und über das in der Schweiz gelegene Vermögen der Beschwerdeführerin den Konkurs zu eröffnen.</w:t>
      </w:r>
    </w:p>
    <w:p>
      <w:r>
        <w:rPr>
          <w:b/>
        </w:rPr>
        <w:t>E. 2</w:t>
      </w:r>
    </w:p>
    <w:p>
      <w:r>
        <w:t>Nach Art. 174 Abs. 2 SchKG kann die Rechtsmittelinstanz die Konkurseröffnung aufheben, wenn der Schuldner seine Zahlungsfähigkeit glaubhaft macht und durch Urkunden beweist, dass inzwischen die Schuld, einschliesslich der Zinsen und Kosten, getilgt ist (Ziff. 1), der geschuldete Betrag bei der Rechtsmittelinstanz zuhanden des Gläubigers hinterlegt ist (Ziff. 2) oder der Gläubiger auf die Durchführung des Konkurses verzichtet (Ziff. 3). Bei der 10-tägigen Rechtsmittelfrist von Art. 174 Abs. 1 SchKG handelt es sich um eine ge- setzliche Frist. Die Konkursaufhebungsgründe gemäss Art. 174 Abs. 2 Ziff. 1-3 SchKG sind daher nur zu berücksichtigen, wenn sie sich innert der Rechtsmittelfrist verwirklicht haben und urkundlich nachgewiesen werden. Ferner muss innert der Rechtsmittelfrist die Zahlungs- fähigkeit glaubhaft gemacht werden. Es ist nicht statthaft, die Frist zur Beibringung der gehörigen Unterlagen zu verlängern (vgl. BGE 139 III 491 E. 4; Urteil des Bundesgerichts 5A_977/2022 vom 28. Februar 2023 E. 2.1.2).</w:t>
      </w:r>
    </w:p>
    <w:p>
      <w:r>
        <w:rPr>
          <w:b/>
        </w:rPr>
        <w:t>E. 3</w:t>
      </w:r>
    </w:p>
    <w:p>
      <w:r>
        <w:t>Die Beschwerdeführerin hinterlegte am 29. August 2025 – innerhalb der zehntägigen Rechtsmittelfrist – bei der Gerichtskasse einen Betrag von CHF 1'080.50 zugunsten der Be- schwerdegegnerin (vgl. act. 3/4). Die Forderung der Beschwerdegegnerin inkl. Zinsen und Kosten von CHF 1'080.50 ist somit gedeckt und der in Art. 174 Abs. 2 Ziff. 2 SchKG erwähn- te Konkursaufhebungsgrund ist gegeben. Im Folgenden bleibt zu prüfen, ob die Beschwerde- führerin ihre Zahlungsfähigkeit glaubhaft gemacht hat.</w:t>
      </w:r>
    </w:p>
    <w:p>
      <w:r>
        <w:rPr>
          <w:b/>
        </w:rPr>
        <w:t>E. 4</w:t>
      </w:r>
    </w:p>
    <w:p>
      <w:r>
        <w:t>Glaubhaft gemacht ist eine Tatsache dann, wenn für ihr Vorhandensein gewisse Elemente sprechen, selbst wenn das Gericht noch mit der Möglichkeit rechnet, dass sie sich nicht ver- wirklicht haben könnte. Im Hinblick auf die Aufhebung der Konkurseröffnung bedeutet dies, dass die Zahlungsfähigkeit des Schuldners wahrscheinlicher sein muss als seine Zahlungs- unfähigkeit. In diesem Bereich dürfen keine zu strengen Anforderungen gestellt werden, ins-</w:t>
      </w:r>
    </w:p>
    <w:p>
      <w:r>
        <w:t>Seite 5/7 besondere wenn die wirtschaftliche Lebensfähigkeit des schuldnerischen Unternehmens nicht von vornherein ausgeschlossen werden kann. Es liegt am Schuldner, Beweismittel vor- 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Wichtigstes bzw. unerlässliches Dokument zum Glaubhaftmachen der Zahlungsfähigkeit ist der Auszug aus dem Betreibungsregister; vorzu- legen ist ein Betreibungsregisterauszug mindestens der letzten drei Jahre. Zahlungsfähigkeit bedeutet, dass ausreichend liquide Mittel zur Begleichung der fälligen Schulden vorhanden sind. Grundsätzlich als zahlungsunfähig erweist sich ein Schuldner, der beispielsweise Kon- 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Dabei sind auch Betreibungen, gegen die Rechtsvorschlag erhoben wurde, im Rahmen der Gesamt- betrachtung der Zahlungsgewohnheiten zu berücksichtigen. Der Schuldner ist daher grundsätzlich gehalten, zu jeder im Betreibungsregister nicht als erledigt aufgeführten Forde- rung Stellung zu nehmen und behauptete Zahlungsvereinbarungen und geleistete Raten zu belegen (Urteile des Bundesgerichts 5A_353/2022 vom 31. August 2022 E. 2.3 und 2.5.2 und 5A_33/2021 vom 28. September 2021 E. 2.2 und 3.3, je mit Hinweisen). Bei der Beurteilung der Zahlungsfähigkeit kommt dem Richter ein weiter Ermessensspielraum zu (vgl. Giroud/ Theus Simoni, Basler Kommentar, 3. A. 2021, Art. 174 SchKG N 26).</w:t>
      </w:r>
    </w:p>
    <w:p>
      <w:r>
        <w:rPr>
          <w:b/>
        </w:rPr>
        <w:t>E. 5</w:t>
      </w:r>
    </w:p>
    <w:p>
      <w:r>
        <w:t>Zur Zahlungsfähigkeit der Beschwerdeführerin ist Folgendes festzuhalten:</w:t>
      </w:r>
    </w:p>
    <w:p>
      <w:r>
        <w:rPr>
          <w:b/>
        </w:rPr>
        <w:t>E. 5.1</w:t>
      </w:r>
    </w:p>
    <w:p>
      <w:r>
        <w:t>Die Beschwerdeführerin reichte keinen Betreibungsregisterauszug ein, sondern eine "Aus- kunft Schuldner A.________ AG" des Betreibungsamtes Zug vom 19. August 2025 (act. 2/2). Gemäss dieser Aufstellung sind gegen sie – nebst der Betreibung, die zur Konkurseröffnung geführt hat und mittlerweile durch Zahlung des offenen Betrages erledigt ist – insgesamt fünf Betreibungen über total CHF 43'318.72 offen. Die Forderung der E.________ AG über CHF 437.70, welche durch Rechtsvorschlag gehemmt ist, wurde im Dezember 2021 in Be- treibung gesetzt und seither nicht weiterverfolgt. Sie kann daher einstweilen ausser Acht ge- lassen werden. Auch die Forderung der F.________ über CHF 474.70, die durch Rechtsvor- schlag gehemmt ist, wurde seit Juni 2024 nicht weiterverfolgt. Die Beschwerdeführerin be- hauptet, es bestehe keine Geschäftsverbindung, wozu aber keine Belege vorliegen. Entspre- chend ist diese Forderung ebenfalls zu berücksichtigen. Die Betreibungen der G.________ AG über CHF 3'042.22 (welche durch Rechtsvorschlag gehemmt ist) und der Beschwerde- gegnerin über CHF 3'534.10 (bei welcher der Zahlungsbefehl zugestellt wurde) werden von der Beschwerdeführerin ohne nähere Begründung bestritten. Die Beschwerdeführerin be- streitet sodann auch die Forderung der H.________ (nachfolgend: H.________) über CHF 35'830.00 (die durch Rechtsvorschlag gehemmt ist). Sie führt aus, es bestehe keine er- kennbare Geschäftsbeziehung und seit neun Monaten sei keinerlei Kommunikation oder Klärung erfolgt (vgl. act. 2/1). Diese Bestreitung erfolgt völlig unsubstanziiert; namentlich un- terlässt es die Beschwerdeführerin anzugeben, worauf die H.________ ihre Forderung ab- stützt. Es ist jedenfalls gerichtsnotorisch, dass die Betreibungen der H.________ häufig For-</w:t>
      </w:r>
    </w:p>
    <w:p>
      <w:r>
        <w:t>Seite 6/7 derungen aus COVID-Krediten betreffen. Einstweilen ist daher von offenen, bestrittenen Be- treibungsforderungen in Höhe von CHF 42'881.02 auszugehen. Hinzu kommen gemäss Rechnung der I.________ vom 21. Juli 2025 offene Lohnbeiträge in Höhe von CHF 4'831.50 (vgl. act. 11/3). Insgesamt belaufen sich somit die Schulden – soweit für das Gericht ersicht- lich und nachvollziehbar – auf CHF 47'712.52.</w:t>
      </w:r>
    </w:p>
    <w:p>
      <w:r>
        <w:rPr>
          <w:b/>
        </w:rPr>
        <w:t>E. 5.2</w:t>
      </w:r>
    </w:p>
    <w:p>
      <w:r>
        <w:t>Gemäss dem vom Direktor der Beschwerdeführerin unterzeichneten Status ("Binding Status Statement of A.________ AG Assets and Liabilities August 2025") verfügt die Beschwerde- führerin bei der J.________ Bank über ein Kontoguthaben von CHF 1'368.00 per 18. August 2025. Zudem bestehen Guthaben aus offenen Rechnungen in Höhe von CHF 21'235.00 und angefangene (noch nicht in Rechnung gestellte) Arbeiten im Wert von CHF 22'151.00. Weiter soll die Beschwerdeführerin über Versicherungsansprüche in Höhe von CHF 5'000.00 und ein Barvermögen von CHF 5'050.00 verfügen sowie Lizenzen im Wert von CHF 15'000.00 und Copyrights im Wert von CHF 10'000.00 halten. Computer und andere Hardware im Wert von CHF 7'500.00 wurden im Jahre 2024 abgeschrieben (vgl. act.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