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107 vom 9. Dezember 2025</w:t>
      </w:r>
    </w:p>
    <w:p>
      <w:r>
        <w:t>ZG Obergericht, 2025-12-09, DE</w:t>
      </w:r>
    </w:p>
    <w:p>
      <w:r>
        <w:rPr>
          <w:b/>
        </w:rPr>
        <w:t xml:space="preserve">Quelle: </w:t>
      </w:r>
      <w:r>
        <w:t>https://mcp.opencaselaw.ch/entscheid/zg_obergericht_BZ_2025_107</w:t>
      </w:r>
    </w:p>
    <w:p>
      <w:r>
        <w:t>FR: ZG_OBERGERICHT BZ 2025 107 du 9 décembre 2025</w:t>
      </w:r>
    </w:p>
    <w:p>
      <w:r>
        <w:t>IT: ZG_OBERGERICHT BZ 2025 107 del 9 dicembre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unentgeltliche Rechtspflege ganz oder teilweise abgelehnt wird, mit Beschwerde anfechtbar. Mit der Be- schwerde können unrichtige Rechtsanwendung und offensichtlich unrichtige Feststellung des Sachverhalts geltend gemacht werden (Art. 320 ZPO). Neue Anträge, neue Tatsachenbehaup- tungen und neue Beweismittel sind ausgeschlossen (Art. 326 Abs. 1 ZPO).</w:t>
      </w:r>
    </w:p>
    <w:p>
      <w:r>
        <w:rPr>
          <w:b/>
        </w:rPr>
        <w:t>E. 2</w:t>
      </w:r>
    </w:p>
    <w:p>
      <w:r>
        <w:t>Nach Art. 117 ZPO hat eine Person Anspruch auf unentgeltliche Rechtspflege, wenn sie nicht über die erforderlichen Mittel verfügt (lit. a) und ihr Rechtsbegehren nicht als aussichtslos er- scheint (lit. b). Im Rechtsmittelverfahren ist die unentgeltliche Rechtspflege neu zu beantragen (Art. 119 Abs. 5 ZPO).</w:t>
      </w:r>
    </w:p>
    <w:p>
      <w:r>
        <w:rPr>
          <w:b/>
        </w:rPr>
        <w:t>E. 2.1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 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w:t>
      </w:r>
    </w:p>
    <w:p>
      <w:r>
        <w:rPr>
          <w:b/>
        </w:rPr>
        <w:t>E. 2.2</w:t>
      </w:r>
    </w:p>
    <w:p>
      <w:r>
        <w:t>Die Aussichtslosigkeit kann formeller (prozessrechtlicher), materieller oder faktischer Natur sein. Formelle Aussichtslosigkeit ist gegeben, wenn Prozessvoraussetzungen im Sinne von Art. 59 ZPO nicht erfüllt sind und bis zur Fällung des Sachurteils auch nicht mehr erfüllt werden können, deren Fehlen also nicht "heilbar" ist. Tatsächliche Aussichtslosigkeit liegt vor, wenn von vornherein klar ist, dass die behaupteten relevanten Tatsachen unwahrscheinlich sind oder nicht bewiesen werden können. Materiellrechtliche Aussichtslosigkeit ist schliesslich zu beja- hen, wenn ein behaupteter Anspruch aufgrund des geschilderten Sachverhalts nach klarem Gesetzeswortlauf und/oder klarer Gerichtspraxis von vornherein als unzulässig oder rechtlich unbegründet erscheint (vgl. zum Ganzen BGE 142 III 138 E. 5.1; Urteil des Bundesgerichts 5A_770/2021 vom 4. März 2022 E. 6.3; Wuffli/Fuhrer, Handbuch unentgeltliche Rechtspflege im Zivilprozessrecht, 2019, Rz 383 f., 388 und 396).</w:t>
      </w:r>
    </w:p>
    <w:p>
      <w:r>
        <w:rPr>
          <w:b/>
        </w:rPr>
        <w:t>E. 3</w:t>
      </w:r>
    </w:p>
    <w:p>
      <w:r>
        <w:t>Hintergrund des neuesten Abänderungsgesuchs war der Umstand, dass seit diesem Schul- jahr nur noch E.________ und nicht mehr beide Kinder am Freitagnachmittag Unterricht ha- ben. Gestützt auf die aktuell geltende, gerichtlich angeordnete Betreuungsregelung (vgl. Ziff. 5 f. des Sachverhalts vorne sowie E. 4.2 hinten) stellte sich die Prozessgegnerin auf den Standpunkt, der Beschwerdeführer müsse D.________ nach dem Morgenunterricht (12.00 Uhr) und E.________ nach dem Nachmittagsunterricht (15.00 Uhr) abholen. Der Beschwer- Seite 4/6 deführer hätte es derweil begrüsst, wenn D.________ und E.________ zusammen bei der Prozessgegnerin hätten zu Mittag essen können, zumal E.________ ohnehin sein Mittages- sen bei der Prozessgegnerin einnehme. Dies hätte ihm (dem Beschwerdeführer) erlaubt, eine Stunde länger zu arbeiten, um D.________ um 13.00 Uhr oder 13.15 Uhr abzuholen und mit ihr schwimmen, einkaufen oder auf den Spielplatz zu gehen, sodass er um 15.00 Uhr auch E.________ abholen und mit beiden zu sich nach Hause hätte fahren können (vgl. Ver- fügung des Abteilungspräsidenten der II. Zivilabteilung des Obergerichts Zug vom 25. August 2025 E. 2 [Z2 2025 39, VA 2025 79]).</w:t>
      </w:r>
    </w:p>
    <w:p>
      <w:r>
        <w:rPr>
          <w:b/>
        </w:rPr>
        <w:t>E. 4</w:t>
      </w:r>
    </w:p>
    <w:p>
      <w:r>
        <w:t>In rechtlicher Hinsicht stellten sich im Wesentlichen zwei Fragen. Die erste Frage war, ob der Umstand, dass nicht beide Kinder am Freitagnachmittag Schulunterricht haben, im abzuän- dernden Urteil bereits berücksichtigt wurde und sich folglich die Verhältnisse überhaupt ver- ändert haben. Die zweite Frage war, ob – falls die Umstände nicht berücksichtigt worden sind und entsprechend veränderte Verhältnisse vorliegen – die Veränderung wesentlich und dau- erhaft ist und folglich überhaupt zu einer Abänderung des ursprünglichen Entscheids berech- tigen (vgl. Verfügung des Abteilungspräsidenten der II. Zivilabteilung des Obergerichts Zug vom 25. August 2025 E. 3 [Z2 2025 39, VA 2025 79]).</w:t>
      </w:r>
    </w:p>
    <w:p>
      <w:r>
        <w:rPr>
          <w:b/>
        </w:rPr>
        <w:t>E. 5</w:t>
      </w:r>
    </w:p>
    <w:p>
      <w:r>
        <w:t>Die zweite Frage war sowohl betreffend Wesentlichkeit und Dauerhaftigkeit mutmasslich zu verneinen. Der Umstand, dass der Beschwerdeführer neuerdings eines der zwei Kinder (D.________) jede zweite Woche ungefähr drei Stunden früher (um 12.00 Uhr statt bei- spielsweise nach Schulschluss um 15.00 Uhr) und nicht zeitgleich mit E.________ abholen muss, stellt keine wesentliche Änderung der Verhältnisse dar, die eine gerichtliche Abände- rung der Betreuungs- und Unterhaltsregelung rechtfertigen würde. Das gilt selbst dann, wenn diese Veränderung bedingt, dass der Beschwerdeführer mit D.________ das Mittagessen einnehmen und hernach drei Stunden warten muss, bis auch E.________ Schulschluss hat. Das Kindeswohl ist auch nicht deswegen gefährdet, weil der Beschwerdeführer den Arbeits- platz jede zweite Woche bereits eine Stunde früher verlassen muss. Inwiefern das resultie- rende Minus von nur ungefähr zwei Stunden pro Monat sich auf seine Stelle oder Gesundheit auswirkt, ist nicht erkennbar. Die Wesentlichkeit dieser Veränderungen ist umso mehr zu verneinen, als mit dem Scheidungsentscheid bald zu rechnen ist. In diesem kann die Betreu- ung neu geregelt werden, ohne dass die Voraussetzungen für eine Abänderung erfüllt sein müssen. Generell gilt, dass, je weniger lang die zu ändernde Massnahme noch dauert, desto mehr sich die Verhältnisse verändern müssen, damit von einer wesentlichen Veränderung zu sprechen und die Massnahme vor deren Ablauf (mithin vor deren Neuregelung oder Neube- urteilung im Scheidungsentscheid) noch gerichtlich abzuändern ist (vgl. Verfügung des Abtei- lungspräsidenten der II. Zivilabteilung des Obergerichts Zug vom 25. August 2025 E. 5 [Z2 2025 39, VA 2025 79]). Somit erwies sich das Abänderungsgesuch nach vorläufiger und summarischer Prüfung von vornherein als aussichtslos. Damit konnte offenbleiben, ob der Beschwerdeführer überhaupt noch bedürftig ist (gemäss E. 4.8.7 im Urteil des Obergerichts Zug Z2 2024 70 vom 23. Juni 2025 beträgt sein monatlicher Überschuss – ab Ausbezahlung der IV-Rente – rund CHF 690.00). Das Gesuch um Gewährung der unentgeltlichen Rechts- pflege (UP 2025 85) wurde daher zu Recht abgewiesen.</w:t>
      </w:r>
    </w:p>
    <w:p>
      <w:r>
        <w:rPr>
          <w:b/>
        </w:rPr>
        <w:t>E. 6</w:t>
      </w:r>
    </w:p>
    <w:p>
      <w:r>
        <w:t>Nach dem Gesagten erweist sich die Beschwerde als unbegründet und ist abzuweisen. Seite 5/6 Bei diesem Ausgang des Verfahrens sind die Kosten des Beschwerdeverfahrens dem Be- schwerdeführer aufzuerlegen (Art. 106 Abs. 1 ZPO), da sein Gesuch um unentgeltliche Rechtspflege für dieses Verfahren – gemäss den nachstehenden Ausführungen – abgewie- sen wird und Art. 119 Abs. 6 ZPO (Kostenlosigkeit bei Verfahren um unentgeltliche Rechts- pflege und unentgeltlichen Rechtsbeistand) für das Beschwerdeverfahren nicht anwendbar ist (BGE 137 III 470).</w:t>
      </w:r>
    </w:p>
    <w:p>
      <w:r>
        <w:rPr>
          <w:b/>
        </w:rPr>
        <w:t>E. 7</w:t>
      </w:r>
    </w:p>
    <w:p>
      <w:r>
        <w:t>Das Gesuch um unentgeltliche Rechtspflege für das Beschwerdeverfahren, für dessen Be- handlung der Einzelrichter zuständig ist (§ 23 Abs. 2 Bst. h GOG), ist infolge Aussichtslosig- keit der Rechtsbegehren abzuweisen (vgl. vorne E. 2). Gerichtskosten sind für diesen Ent- scheid keine zu erheben (Art. 119 Abs. 6 ZPO).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