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98 vom 21. Januar 2025</w:t>
      </w:r>
    </w:p>
    <w:p>
      <w:r>
        <w:t>ZG Obergericht, 2025-01-21, DE</w:t>
      </w:r>
    </w:p>
    <w:p>
      <w:r>
        <w:rPr>
          <w:b/>
        </w:rPr>
        <w:t xml:space="preserve">Quelle: </w:t>
      </w:r>
      <w:r>
        <w:t>https://mcp.opencaselaw.ch/entscheid/zg_obergericht_BZ_2024_98</w:t>
      </w:r>
    </w:p>
    <w:p>
      <w:r>
        <w:t>FR: ZG_OBERGERICHT BZ 2024 98 du 21 janvier 2025</w:t>
      </w:r>
    </w:p>
    <w:p>
      <w:r>
        <w:t>IT: ZG_OBERGERICHT BZ 2024 98 del 21 gennaio 2025</w:t>
      </w:r>
    </w:p>
    <w:p>
      <w:pPr>
        <w:pStyle w:val="Heading2"/>
      </w:pPr>
      <w:r>
        <w:t>Regeste</w:t>
      </w:r>
    </w:p>
    <w:p>
      <w:r>
        <w:t>II. Beschwerdeabteilung</w:t>
      </w:r>
    </w:p>
    <w:p>
      <w:pPr>
        <w:pStyle w:val="Heading2"/>
      </w:pPr>
      <w:r>
        <w:t>Erwägungen</w:t>
      </w:r>
    </w:p>
    <w:p>
      <w:r>
        <w:rPr>
          <w:b/>
        </w:rPr>
        <w:t>E. 1</w:t>
      </w:r>
    </w:p>
    <w:p>
      <w:r>
        <w:t>Nach Art. 320 ZPO kann mit der Beschwerde die unrichtige Rechtsanwendung (lit. a) und/oder die offensichtlich unrichtige Feststellung des Sachverhalts (lit. b) geltend gemacht werden. Im Gegensatz zur Prüfung der richtigen Rechtsanwendung gilt für die Beschwerde hinsichtlich der Sachverhaltsfeststellung eine beschränkte Kognition: Erforderlich ist eine qualifiziert fehlerhafte Feststellung des Sachverhalts. "Offensichtlich unrichtig" ist dabei gleichbedeutend mit willkürlich im Sinne von Art. 9 BV. Dies ist der Fall bei aktenwidrigen Feststellungen oder offensichtlichen Versehen der Vorinstanz (Freiburghaus/Afheldt, in: Sutter-Somm/Hasenböhler/Leuenberger [Hrsg.], Kommentar zur Schweizerischen Zivil- prozessordnung, 3. A. 2016, Art. 320 ZPO N 5 f.).</w:t>
      </w:r>
    </w:p>
    <w:p>
      <w:r>
        <w:t>Seite 3/5</w:t>
      </w:r>
    </w:p>
    <w:p>
      <w:r>
        <w:rPr>
          <w:b/>
        </w:rPr>
        <w:t>E. 2.1</w:t>
      </w:r>
    </w:p>
    <w:p>
      <w:r>
        <w:t>Beruht die Forderung auf einer durch öffentliche Urkunde festgestellten oder durch Unter- schrift bekräftigten Schuldanerkennung, so kann der Gläubiger die provisorische Rechtsöff- nung verlangen (Art. 82 Abs. 1 SchKG). Der Richter spricht dieselbe aus, sofern der Betrie- bene nicht Einwendungen, welche die Schuldanerkennung entkräften, sofort glaubhaft macht (Art. 82 Abs. 2 SchKG).</w:t>
      </w:r>
    </w:p>
    <w:p>
      <w:r>
        <w:rPr>
          <w:b/>
        </w:rPr>
        <w:t>E. 2.2</w:t>
      </w:r>
    </w:p>
    <w:p>
      <w:r>
        <w:t>Das Rechtsöffnungsverfahren ist ein Urkundenprozess: Die Prüfungszuständigkeit des Rechtsöffnungsgerichts umfasst ausschliesslich Fragen im Zusammenhang mit der Tauglich- keit der präsentierten Urkunden. Ziel des Verfahrens ist nicht die Feststellung des materiellen Bestandes der in Betreibung gesetzten Forderung, sondern die Anerkennung des Vorliegens einer vollstreckbaren Urkunde dafür. Entsprechend würdigt der Rechtsöffnungsrichter nur die Beweiskraft der vom Gläubiger vorgelegten Urkunde, nicht aber die Gültigkeit der Forderung an sich, und anerkennt die Vollstreckbarkeit des Titels, falls der Schuldner seine Einwendun- gen nicht unverzüglich glaubhaft macht. Die Frage, ob ein gültiger Rechtsöffnungstitel vor- liegt, prüft der Rechtsöffnungsrichter von Amtes wegen. Eine Schuldanerkennung im Sinne von Art. 82 SchKG kann sich auch aus einer Gesamtheit von Urkunden ergeben, sofern die notwendigen Elemente daraus hervorgehen. Dies bedeutet, dass die unterzeichnete Urkunde auf die Schriftstücke, welche die Schuld betragsmässig ausweisen, klar und unmittelbar Be- zug nehmen bzw. verweisen muss. Die Höhe der Schuld muss im Zeitpunkt der Unterzeich- nung der Schuldanerkennung bestimmt oder leicht bestimmbar sein (Urteil des Bundesge- richts 4A_642/2023 vom 2. Februar 2024 E. 2.1 mit Hinweisen).</w:t>
      </w:r>
    </w:p>
    <w:p>
      <w:r>
        <w:rPr>
          <w:b/>
        </w:rPr>
        <w:t>E. 3</w:t>
      </w:r>
    </w:p>
    <w:p>
      <w:r>
        <w:t>Die Vorinstanz hielt zur Begründung des angefochtenen Entscheids im Wesentlichen fest, aus dem Mietvertrag ergäben sich monatliche Mietzinsraten von CHF 480.00, die unbestrit- tenermassen nicht bezahlt worden seien. In diesem Umfang könne somit die provisorische Rechtsöffnung erteilt werden. Für die darüber hinaus von der Beschwerdeführerin geltend gemachten Mietzinse fehle es an einer Schuldanerkennung. Dasselbe gelte für die Neben- kosten von CHF 170.40 für das Jahr 2023 und von CHF 22.80 für das Jahr 2024. Diese sei- en im Mietvertrag nicht beziffert. Die Erteilung der provisorischen Rechtsöffnung sei daher für all diese Beträge zu verweigern.</w:t>
      </w:r>
    </w:p>
    <w:p>
      <w:r>
        <w:rPr>
          <w:b/>
        </w:rPr>
        <w:t>E. 3.1</w:t>
      </w:r>
    </w:p>
    <w:p>
      <w:r>
        <w:t>Die Beschwerdeführerin rügt, dass die Vorinstanz bloss für die Mietzinse von CHF 480.00, nicht aber für die Mehrwertsteuer provisorische Rechtsöffnung erteilt hat. Sie erblickt darin eine offensichtliche unrichtige Feststellung des Sachverhalts.</w:t>
      </w:r>
    </w:p>
    <w:p>
      <w:r>
        <w:rPr>
          <w:b/>
        </w:rPr>
        <w:t>E. 3.1.1</w:t>
      </w:r>
    </w:p>
    <w:p>
      <w:r>
        <w:t>Im Mietvertrag wird, wie erwähnt, der Mietzins an einer Stelle auf CHF 480.00 exkl. MWST beziffert, während weiter unten das Total mit bloss CHF 480.00 angegeben wird. Der Vertrag ist somit widersprüchlich abgefasst. Es stellt sich daher die Frage, für welchen Betrag eine Schuldanerkennung vorliegt. Dabei handelt es sich um eine von Amtes wegen zu prüfende Rechtsfrage.</w:t>
      </w:r>
    </w:p>
    <w:p>
      <w:r>
        <w:rPr>
          <w:b/>
        </w:rPr>
        <w:t>E. 3.1.2</w:t>
      </w:r>
    </w:p>
    <w:p>
      <w:r>
        <w:t>Die Formulierung, wonach der Mietzins netto monatlich exkl. MWST CHF 480.00 beträgt, lässt keine Zweifel offen, dass die Mehrwertsteuer zusätzlich zum Mietzins geschuldet ist. Daran vermag auch die abweichende Bezifferung auf CHF 480.00 – ohne Nennung der Mehrwertsteuer – weiter unten im Vertrag nichts zu ändern. Dementsprechend ist der Be- schwerdeführerin auch für die verlangten Mietzinse einschliesslich Mehrwertsteuer provisori-</w:t>
      </w:r>
    </w:p>
    <w:p>
      <w:r>
        <w:t>Seite 4/5 sche Rechtsöffnung zu erteilen. Ebenfalls ausgewiesen ist sodann der zugesprochene Ver- zugszins zu 5 % seit 16. Januar 2024 (Art. 102 Abs. 2 OR i.V.m. Art. 104 Abs. 1 OR).</w:t>
      </w:r>
    </w:p>
    <w:p>
      <w:r>
        <w:rPr>
          <w:b/>
        </w:rPr>
        <w:t>E. 3.2</w:t>
      </w:r>
    </w:p>
    <w:p>
      <w:r>
        <w:t>Anders verhält es sich hingegen mit Bezug auf die von der Beschwerdeführerin verlangten Nebenkosten. Diese sind – wie die Vorinstanz zutreffend ausführt – im Mietvertrag nicht be- tragsmässig ausgewiesen. Vielmehr wird ausdrücklich festgehalten, dass diese Kosten nach dem effektiven Verbrauch berechnet werden. Die Höhe der Schuld war daher im Zeitpunkt der Unterzeichnung des Mietvertrags weder bestimmt noch leicht bestimmbar. Die Vor- instanz hat die provisorische Rechtsöffnung für die geltend gemachten Nebenkosten somit zu Recht verweigert.</w:t>
      </w:r>
    </w:p>
    <w:p>
      <w:r>
        <w:rPr>
          <w:b/>
        </w:rPr>
        <w:t>E. 3.3</w:t>
      </w:r>
    </w:p>
    <w:p>
      <w:r>
        <w:t>Unbegründet ist schliesslich der Antrag der Beschwerdeführerin, es sei ihr auch für die Zah- lungsbefehlskosten provisorische Rechtsöffnung zu erteilen. Die Vorinstanz wies die Be- schwerdeführerin zu Recht darauf hin, dass der Gläubiger gemäss Art. 68 Abs. 2 SchKG be- rechtigt ist, von den Zahlungen des Schuldners die Betreibungskosten vorab zu erheben, womit für die Zahlungsbefehlskosten keine Rechtsöffnung zu ereilen ist.</w:t>
      </w:r>
    </w:p>
    <w:p>
      <w:r>
        <w:rPr>
          <w:b/>
        </w:rPr>
        <w:t>E. 4</w:t>
      </w:r>
    </w:p>
    <w:p>
      <w:r>
        <w:t>Nach dem Gesagten ist in teilweiser Gutheissung der Beschwerde Dispositiv-Ziffer 1 des an- gefochtenen Entscheids aufzuheben und der Beschwerdeführerin ist in der Betreibung Nr. C.________ des Betreibungsamtes Zug provisorische Rechtsöffnung für CHF 3'107.50 ([CHF 516.95 x 2] + [CHF 518.40 x 4]) nebst Zins zu 5 % seit 16. Januar 2024 zu erteilen. Im Übrigen ist die Beschwerde abzuweisen.</w:t>
      </w:r>
    </w:p>
    <w:p>
      <w:r>
        <w:rPr>
          <w:b/>
        </w:rPr>
        <w:t>E. 5</w:t>
      </w:r>
    </w:p>
    <w:p>
      <w:r>
        <w:t>Bei diesem Ausgang dringt die Beschwerdeführerin mit ihrer Beschwerde rund zur Hälfte durch. Die Kosten des Beschwerdeverfahrens sind daher den Parteien je zur Hälfte aufzuer- legen und es sind keine Entschädigungen zuzusprechen.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