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50 vom 4. Juli 2024</w:t>
      </w:r>
    </w:p>
    <w:p>
      <w:r>
        <w:t>ZG Obergericht, 2024-07-04, DE</w:t>
      </w:r>
    </w:p>
    <w:p>
      <w:r>
        <w:rPr>
          <w:b/>
        </w:rPr>
        <w:t xml:space="preserve">Quelle: </w:t>
      </w:r>
      <w:r>
        <w:t>https://mcp.opencaselaw.ch/entscheid/zg_obergericht_BZ_2024_50</w:t>
      </w:r>
    </w:p>
    <w:p>
      <w:r>
        <w:t>FR: ZG_OBERGERICHT BZ 2024 50 du 4 juillet 2024</w:t>
      </w:r>
    </w:p>
    <w:p>
      <w:r>
        <w:t>IT: ZG_OBERGERICHT BZ 2024 50 del 4 luglio 2024</w:t>
      </w:r>
    </w:p>
    <w:p>
      <w:pPr>
        <w:pStyle w:val="Heading2"/>
      </w:pPr>
      <w:r>
        <w:t>Regeste</w:t>
      </w:r>
    </w:p>
    <w:p>
      <w:r>
        <w:t>II. Beschwerdeabteilung</w:t>
      </w:r>
    </w:p>
    <w:p>
      <w:pPr>
        <w:pStyle w:val="Heading2"/>
      </w:pPr>
      <w:r>
        <w:t>Erwägungen</w:t>
      </w:r>
    </w:p>
    <w:p>
      <w:r>
        <w:rPr>
          <w:b/>
        </w:rPr>
        <w:t>E. 1</w:t>
      </w:r>
    </w:p>
    <w:p>
      <w:r>
        <w:t>Die Beschwerdeführerin machte in ihrer Beschwerde geltend, ihr sei weder die Vorladungs- anzeige vom 12. März 2024 noch der Entscheid des Konkursgerichts vom 23. April 2024 rechtsgültig zugestellt worden. In den Sendungsverfolgungen der Post für die Vorladung vom 12. März 2024 und für den Entscheid vom 23. April 2024 sei ihre Sitzadresse (F.________, 6300 Zug) als Empfängeradresse aufgeführt. Dennoch seien beide Sendungen in 5430 Wettingen zugestellt und am Schalter von einer G.________ entgegengenommen worden. Sie (die Beschwerdeführerin) habe dort weder Sitz noch eine Geschäftsniederlas- sung bzw. Domiziladresse. Auch der einzige Verwaltungsrat der Beschwerdeführerin, H.________, habe keinen Wohnsitz in Wettingen. Es sei unklar, um wen es sich bei G.________ handle.</w:t>
      </w:r>
    </w:p>
    <w:p>
      <w:r>
        <w:t>Seite 3/8 In ihrer Stellungnahme vom 17. Mai 2024 hielt die Beschwerdeführerin fest, sie habe zwi- schenzeitlich einen Auszug des Nachsendeauftrages der Post erhältlich machen können. Daraus gehe hervor, dass ein Auftrag im Namen der Beschwerdeführerin zugunsten der Adresse c/o I.________, 5430 Wettingen bestehe. Gemäss eigener Darstellung betreibe die J.________ AG digitale Briefkästen. Die physische Briefpost werde zuerst an ein Scan- Center (wohl in Wettingen) gesendet, dort eingelesen und über die Plattform der J.________ AG online für die Kunden zugänglich gemacht. Trotz intern getätigten Abklärungen bleibe für sie (die Beschwerdeführerin) unklar, wer den Nachsendeauftrag bei der Post erstellt habe. Zudem bestehe zwischen ihr und der J.________ AG kein Vertragsverhältnis. Damit sei sie nicht gehörig zur Konkursverhandlung vorgeladen worden, was eine Verletzung des rechtli- chen Gehörs darstelle (vgl. act. 1 Rz 5 ff.; act. 7 N 1 ff.).</w:t>
      </w:r>
    </w:p>
    <w:p>
      <w:r>
        <w:rPr>
          <w:b/>
        </w:rPr>
        <w:t>E. 1.1</w:t>
      </w:r>
    </w:p>
    <w:p>
      <w:r>
        <w:t>Gemäss Art. 138 ZPO erfolgt die Zustellung von Vorladungen, Verfügungen und Entscheiden durch eingeschriebene Postsendung oder auf andere Weise gegen Empfangsbestätigung (Abs. 1). Sie ist erfolgt, wenn die Sendung von der Adressatin oder vom Adressaten oder von einer angestellten oder im gleichen Haushalt lebenden, mindestens 16 Jahre alten Person entgegengenommen wurde. Vorbehalten bleiben Anweisungen des Gerichts, eine Urkunde dem Adressaten oder der Adressatin persönlich zuzustellen (Abs. 2). Bei juristischen Perso- nen sind grundsätzlich die im Handelsregister eingetragenen Personen und andere zur Ver- tretung berechtigte Personen empfangsberechtigt (Frei, Berner Kommentar, 2012, Art. 138 ZPO N 11). Die Zustellung erfolgt am Geschäftssitz der juristischen Person oder an die Pri- vat- oder Geschäftsadresse der zur Vertretung berechtigten Personen (vgl. Staehelin, in: Sutter-Somm/Hasenböhler/Leuenberger [Hrsg.], Kommentar zur schweizerischen Zivilpro- zessordnung, 3. A. 2016, Art. 138 ZPO N 5, mit Hinweisen; vgl. Urteil des Bundesgerichts 5A_268/2012 vom 12. Juli 2012 E. 3.4). Mit dieser Regelung will das Gesetz sicherstellen, dass gerichtliche Sendungen – analog zu Betreibungsurkunden – in die Hände jener natürli- chen Personen gelangen, die für die Gesellschaft handeln können (Urteil des Bundesgerichts 5A_268/2012 vom 12. Juli 2012 E. 3.4). Die Zustellung gilt am siebten Tage nach dem erfolg- losen Zustellungsversuch als zugestellt, sofern der Adressat mit der Zustellung einer gericht- lichen Urkunde rechnen muss (Art. 138 Abs. 3 lit. a ZPO). Da die Konkursandrohung nach der Rechtsprechung noch kein Prozessrechtsverhältnis begründet, muss der Schuldner eine Vorladung zur Konkursverhandlung nicht erwarten (BGE 138 III 225 E. 3.2). Die Anzeige der Konkursverhandlung muss den Parteien vor ihrer Durchführung zugestellt werden, da es sich um ein formelles Erfordernis der Konkurseröffnung handelt. Nur so ist gewährleistet, dass das Verfahren unter Beachtung der verfassungsmässigen Garantien, insbesondere des Anspruchs auf rechtliches Gehör, durchgeführt wird (BGE 138 III 225 E. 3.3). Die Beweislast für die ordnungsgemässe Zustellung trägt das Gericht. Eine fehlerhaf- te Zustellung entfaltet grundsätzlich keine Rechtswirkungen. Das Gericht hat sie von Amtes wegen zu beachten und die betreffende Prozesshandlung – wie eine Fristansetzung oder eine Vorladung – zu wiederholen. Entstehen dem Adressaten aus der fehlerhaften Zustellung keine negativen Folgen, so wenn er auf andere Weise Kenntnis von der gerichtlichen Urkun- de erhält, kann er sich aufgrund des Missbrauchsverbots nicht darauf berufen (Urteil des Bundesgerichts 5A_44/2021 vom 23. August 2021 E. 2.1.3 m.H.).</w:t>
      </w:r>
    </w:p>
    <w:p>
      <w:r>
        <w:rPr>
          <w:b/>
        </w:rPr>
        <w:t>E. 1.2</w:t>
      </w:r>
    </w:p>
    <w:p>
      <w:r>
        <w:t>Im vorliegenden Fall hat die Beschwerdeführerin bei der Post einen Auszug des Nachsen- deauftrages erhältlich machen können. Daraus geht nach Angaben der Beschwerdeführerin</w:t>
      </w:r>
    </w:p>
    <w:p>
      <w:r>
        <w:t>Seite 4/8 hervor, dass ein Auftrag im Namen der Beschwerdeführerin zugunsten der Adresse "c/o I.________, 5430 Wettingen" besteht (vgl. act. 1 Rz 1). Dass diese Gesellschaft die Anzeige der Konkursverhandlung tatsächlich entgegengenommen hat, stellt die Beschwerdeführerin nicht in Abrede und ergibt sich zudem aus der Zustellbescheinigung in den vorinstanzlichen Akten (Vi act. 4). Danach hat eine Angestellte der J.________ AG, G.________, die Anzeige am 13. März 2024 in Wettingen entgegengenommen (vgl. act. 1 Rz 2). Mit der Aushändigung an die bei der J.________ AG angestellte Person wurde die Anzeige gültig zugestellt. Daran vermag der Einwand der Beschwerdeführerin, sie könne sich nicht erklären, wie es zum Nachsendeauftrag gekommen sei, nichts zu ändern. Die Beschwerdeführerin räumt selber ein, dass bei der Post ein Nachsendeauftrag in ihrem Namen zugunsten der Adresse "c/o I.________, 5430 Wettingen" besteht. Wenn die rechtsunterworfene Person der Post CH AG einen Nachsendeauftrag erteilt, so entbindet sie das nicht von der ursprünglichen Pflicht, für die Entgegennahme besorgt zu sein. Das Verhalten des beauftragten Dritten ist der rechts- unterworfenen Person ebenso zuzurechnen wie deren eigenes Verhalten (vgl. Urteil des Bundesgerichts 2C_463/2019 vom 8. Juni 2020 vom E. 3.2.4). Folglich ist die Entgegennah- me der Post durch eine Angestellte der J.________ AG der Beschwerdeführerin als eigene Handlung anzurechnen, auch wenn sich die Beschwerdeführerin nicht erklären kann, wie es zum Nachsendeauftrag gekommen ist. Somit steht fest, dass die Anzeige der Konkursver- handlung der Beschwerdeführerin gültig zugestellt wurde. Der Vorwurf, die Vorinstanz habe das rechtliche Gehör der Beschwerdeführerin verletzt, erweist sich daher als unbegründet.</w:t>
      </w:r>
    </w:p>
    <w:p>
      <w:r>
        <w:rPr>
          <w:b/>
        </w:rPr>
        <w:t>E. 2</w:t>
      </w:r>
    </w:p>
    <w:p>
      <w:r>
        <w:t>Zu prüfen bleibt, ob andere Gründe die Aufhebung des vorinstanzlichen Entscheids rechtfer- tigen.</w:t>
      </w:r>
    </w:p>
    <w:p>
      <w:r>
        <w:rPr>
          <w:b/>
        </w:rPr>
        <w:t>E. 2.1</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w:t>
      </w:r>
    </w:p>
    <w:p>
      <w:r>
        <w:rPr>
          <w:b/>
        </w:rPr>
        <w:t>E. 2.2</w:t>
      </w:r>
    </w:p>
    <w:p>
      <w:r>
        <w:t>Die Beschwerdegegnerin bestätigte mit Schreiben vom 2. Mai 2024 und damit innerhalb der zehntägigen Rechtsmittelfrist, dass die Beschwerdeführerin sämtliche Schulden, insbesonde- re diejenigen aus der Betreibung Nr. E.________ des Betreibungsamtes Zug, samt Zinsen und Kosten getilgt habe (vgl. act. 1/4). Die Forderung der Beschwerdegegnerin inkl. Zinsen und Kosten ist somit gedeckt und der in Art. 174 Abs. 2 Ziff. 2 SchKG erwähnte Konkursauf- hebungsgrund gegeben. Bei den Akten liegt weiter ein Schreiben der Beschwerdegegnerin vom 24. April 2024 an das Betreibungsamt Zug, worin die Beschwerdegegnerin um Rückzug der Betreibung Nr. E.________ und des Konkurses gegen die Beschwerdeführerin bat (vgl. act. 1/11). Damit erklärte die Beschwerdegegnerin sinngemäss, auf die Durchführung des</w:t>
      </w:r>
    </w:p>
    <w:p>
      <w:r>
        <w:t>Seite 5/8 vorliegenden Konkursverfahrens zu verzichten. Dementsprechend ist auch der in Art. 174 Abs. 2 Ziff. 3 SchKG erwähnte Konkursaufhebungsgrund gegeben. Im Folgenden bleibt zu prüfen, ob die Beschwerdeführerin ihre Zahlungsfähigkeit glaubhaft gemacht hat.</w:t>
      </w:r>
    </w:p>
    <w:p>
      <w:r>
        <w:rPr>
          <w:b/>
        </w:rPr>
        <w:t>E. 2.3</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2.5</w:t>
      </w:r>
    </w:p>
    <w:p>
      <w:r>
        <w:t>Zur Zahlungsfähigkeit der Beschwerdeführerin ist Folgendes festzuhalten:</w:t>
      </w:r>
    </w:p>
    <w:p>
      <w:r>
        <w:rPr>
          <w:b/>
        </w:rPr>
        <w:t>E. 2.5.1</w:t>
      </w:r>
    </w:p>
    <w:p>
      <w:r>
        <w:t>Gemäss dem von der Beschwerdeführerin eingereichten Betreibungsregisterauszug des Be- treibungsamtes Zug vom 19. April 2024 (act. 1/12) wurden gegen sie – nebst der Betreibung, die zur Konkurseröffnung geführt hat und aufgrund der Zahlung des geschuldeten Betrags erledigt ist – seit Juni 2023 insgesamt 12 Betreibungen über insgesamt CHF 578'077.33 an- gehoben. Davon sind drei Betreibungen über CHF 2'250.00 durch Zahlung an das Betrei- bungsamt erledigt (Nr. K.________, Nr. L.________ und Nr. M.________). Mit Bezug auf die Betreibungen der N.________ GmbH in der Höhe von CHF 4'327.35 (Nr. O.________) und CHF 300.00 (Nr. P.________) hat die Beschwerdeführerin im Beschwerdeverfahren den Nachweis erbracht, dass sie diese Forderungen am 2. Februar 2024 mit einer Zahlung von insgesamt CHF 4'500.00 per Saldo aller Ansprüche getilgt hat (vgl. act. 1/13). Entsprechend schrieb der Einzelrichter am Kantonsgericht Zug am 5. Februar 2024 das Verfahren betref-</w:t>
      </w:r>
    </w:p>
    <w:p>
      <w:r>
        <w:t>Seite 6/8 fend Konkurseröffnung in der Betreibung Nr. O.________ des Betreibungsamts Zug zufolge Rückzugs ab (vgl. 1/14). Drei weitere Betreibungen über CHF 2'356.55 befinden sich im Sta- dium der Pfändung (Nr. Q.________, Nr. R.________ und Nr. S.________). Nach – unbeleg- ter – Darstellung der Beschwerdeführerin wurden diese Forderungen am 24. April 2024 be- glichen (vgl. act. 1 Rz 24). Gegen die Forderung der Konkursmasse T.________ AG von CHF 20'000.00 (Betreibung Nr. U.________) hat die Beschwerdeführerin Rechtsvorschlag erhoben. Diese Schuld wurde nach Darstellung der Beschwerdeführerin vollständig begli- chen, aber die Betreibung noch nicht zurückgezogen (vgl. act. 1 Rz 24). Auch gegen die For- derung der Eidgenössischen Steuerverwaltung von CHF 535'716.15 (Betreibung Nr. V.________) hat die Beschwerdeführerin Rechtsvorschlag erhoben. Sie bestreitet die Höhe der Forderung, da sie der Auffassung ist, dass ihr Umsatz nicht mehrwertsteuerpflichtig sei. Die Steuer sei nach Auskunft von H.________ in der Zwischenzeit auf rund CHF 28'000.00 reduziert worden (vgl. act. 1 Rz 24). Bei einer weiteren Betreibung der Eid- genössischen Steuerverwaltung über CHF 2'000.00 und einer solchen der W.________ GmbH über CHF 11'127.28 wurde der Zahlungsbefehl zugestellt. Die Beschwerdeführerin bestreitet diese Forderungen in Bestand und Höhe (vgl. act. 1 Rz 24).</w:t>
      </w:r>
    </w:p>
    <w:p>
      <w:r>
        <w:rPr>
          <w:b/>
        </w:rPr>
        <w:t>E. 2.5.2</w:t>
      </w:r>
    </w:p>
    <w:p>
      <w:r>
        <w:t>Am 17. Mai 2024 reichte die Beschwerdeführerin einen aktualisierten Betreibungsregister- auszug vom gleichen Tag ein. Dieser kann indes, weil die Eingabe nach Ablauf der zehntägi- gen Rechtsmittelfrist erfolgte, nicht mehr berücksichtigt werden (vgl. E. 2.1).</w:t>
      </w:r>
    </w:p>
    <w:p>
      <w:r>
        <w:rPr>
          <w:b/>
        </w:rPr>
        <w:t>E. 2.5.3</w:t>
      </w:r>
    </w:p>
    <w:p>
      <w:r>
        <w:t>Eine aktuelle Zwischenbilanz fehlt. Es liegt einzig die Bilanz für das Jahr 2022 vor (vgl. act. 1/15) sowie die – vage und nicht überprüfbare – Angabe des Verwaltungsrats der Be- schwerdeführerin, wonach für das Geschäftsjahr 2023 grundsätzlich mit ähnlichen Zahlen gerechnet werden könne (act. 1 Rz 25). Stellt man auf die vorhandenen Zahlen und Angaben ab, so verfügt die Beschwerdeführerin über ein Umlaufvermögen bzw. flüssige Mittel von to- tal CHF 19'006.58. Diese Mittel vermögen das kurzfristige Fremdkapital von CHF 856'627.69 nicht annähernd zu decken, was zeigt, dass die Beschwerdeführerin grosse Liquiditätspro- bleme hat. Daran vermag auch der Umstand nichts zu ändern, dass die Bilanz per Ende 2022 ein Anlagevermögen von CHF 18,8 Mio. ausweist, das die langfristigen Verbindlichkei- ten in der Höhe von CHF 15,3 Mio. deutlich übersteigt.</w:t>
      </w:r>
    </w:p>
    <w:p>
      <w:r>
        <w:rPr>
          <w:b/>
        </w:rPr>
        <w:t>E. 2.5.4</w:t>
      </w:r>
    </w:p>
    <w:p>
      <w:r>
        <w:t>Trotz angespannter Liquiditätslage war die Beschwerdeführerin in der Lage, innert kurzer Zeit genügend Mittel aufzubringen, um die Konkursforderung samt Zinsen und Verfahrens- kosten zu decken bzw. die in Betreibung gesetzten Forderungen teilweise zu begleichen. Diese Mittel stammen, wie die Beschwerdeführerin selbst ausführt, von ihrem wirtschaftlichen Berechtigten H.________, der die Gesellschaft zusammen mit einem Geschäftspartner Ende April 2023 übernommen hat und bestrebt ist, durch Verhinderung des Konkurses und Auf- rechterhaltung der Geschäftstätigkeit das eigene, indirekt gehaltene Vermögen vor Wertzer- fall zu schützen (act. 1 Rz 25, act. 2 Rz 8 f.). Dementsprechend hat dieser am 6. Mai 2024 ein "Unwiderrufliches Zahlungsversprechen" unterzeichnet, wonach er sich verpflichtet, der Beschwerdeführerin – unter der Bedingung, dass der über diese eröffnete Konkurs aufgeho- ben wird – einen Betrag von CHF 1 Mio. zu überweisen (act. 2/18). Mit diesem Liquiditätszu- fluss wird die Beschwerdeführerin in der Lage sein, sämtliche kurzfristigen Verbindlichkeiten zu tilgen. Unter diesen Umständen erscheint die Zahlungsfähigkeit der Beschwerdeführerin glaubhaft, was zur Gutheissung der Beschwerde führt.</w:t>
      </w:r>
    </w:p>
    <w:p>
      <w:r>
        <w:t>Seite 7/8</w:t>
      </w:r>
    </w:p>
    <w:p>
      <w:r>
        <w:rPr>
          <w:b/>
        </w:rPr>
        <w:t>E. 3</w:t>
      </w:r>
    </w:p>
    <w:p>
      <w:r>
        <w:t>Sind die Voraussetzungen, unter denen die II. Beschwerdeabteilung im Rechtsmittelverfah- ren die Konkurseröffnung aufheben kann, im vorliegenden Fall erfüllt, erweist sich die Be- schwerde als begründet. Sie ist daher gutzuheissen und das Konkursdekret ist aufzuheben.</w:t>
      </w:r>
    </w:p>
    <w:p>
      <w:r>
        <w:rPr>
          <w:b/>
        </w:rPr>
        <w:t>E. 4</w:t>
      </w:r>
    </w:p>
    <w:p>
      <w:r>
        <w:t>Trotz dieses Ausgangs des Beschwerdeverfahrens hat die Beschwerdeführerin die Kosten des erst- und zweitinstanzlichen Verfahrens zu tragen. Wie erwähnt, erging das Konkurs- dekret damals zu Recht. Die Beschwerdeführerin hat die Voraussetzungen für dessen Auf- hebung erst im Nachhinein geschaffen. Sie hat damit das Beschwerdeverfahren verursacht, weshalb sie auch für diese Kosten einzustehen hat (Art. 107 Abs. 1 lit. f ZPO). Die Be- schwerdegegnerin hat sie hingegen bereits mangels eines entsprechenden Antrags nicht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