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 vom 21. Mai 2024</w:t>
      </w:r>
    </w:p>
    <w:p>
      <w:r>
        <w:t>ZG Obergericht, 2024-05-21, DE</w:t>
      </w:r>
    </w:p>
    <w:p>
      <w:r>
        <w:rPr>
          <w:b/>
        </w:rPr>
        <w:t xml:space="preserve">Quelle: </w:t>
      </w:r>
      <w:r>
        <w:t>https://mcp.opencaselaw.ch/entscheid/zg_obergericht_BZ_2024_4</w:t>
      </w:r>
    </w:p>
    <w:p>
      <w:r>
        <w:t>FR: ZG_OBERGERICHT BZ 2024 4 du 21 mai 2024</w:t>
      </w:r>
    </w:p>
    <w:p>
      <w:r>
        <w:t>IT: ZG_OBERGERICHT BZ 2024 4 del 21 maggio 2024</w:t>
      </w:r>
    </w:p>
    <w:p>
      <w:pPr>
        <w:pStyle w:val="Heading2"/>
      </w:pPr>
      <w:r>
        <w:t>Regeste</w:t>
      </w:r>
    </w:p>
    <w:p>
      <w:r>
        <w:t>Kantonsgericht, 3. Abteilung — II. Beschwerdeabteilung</w:t>
      </w:r>
    </w:p>
    <w:p>
      <w:pPr>
        <w:pStyle w:val="Heading2"/>
      </w:pPr>
      <w:r>
        <w:t>Erwägungen</w:t>
      </w:r>
    </w:p>
    <w:p>
      <w:r>
        <w:rPr>
          <w:b/>
        </w:rPr>
        <w:t>E. 1</w:t>
      </w:r>
    </w:p>
    <w:p>
      <w:r>
        <w:t>Die vorliegende Beschwerde richtet sich gegen den Entscheid des Referenten am Kantons- gericht Zug vom 28. Dezember 2023, mit welchem das Protokollberichtigungsgesuch der Be- schwerdegegner teilweise gutgeheissen wurde. Anfechtungsobjekt bildet damit eine prozess- leitende Verfügung.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t>Seite 4/6 2. Die Beschwerdeführerinnen bringen zur Begründung der Beschwerde Folgendes vor: 2.1 Sie hätten im erstinstanzlichen Verfahren im Hauptpunkt einen Anspruch auf Einräumung einer vertraglich vereinbarten Beteiligung an der Beschwerdegegnerin 2 sowie auf Übertra- gung einer vertraglich vereinbarten Anzahl CRV Token gegenüber den Beschwerdegegnern geltend gemacht, und zwar als Gegenleistung für die Bereitstellung von Eigen- bzw. Risiko- kapital durch diverse Investoren (inklusive der Beschwerdeführerinnen) gemäss dem zwi- schen den Parteien vereinbarten Investment Agreement vom 28. Juni 2020. 2.2 Die Beschwerdegegner würden diese Ansprüche mit der Begründung bestreiten, dass einer der Investoren seine Einlagen erst im Juli 2020 und somit nach dem sog. Long Stop Date gemäss dem Investment Agreement geleistet habe, weshalb den Beschwerdegegnern – ge- stützt auf eine normative Vertragsauslegung – ein Rücktrittsrecht zugestanden habe. 2.3 Demgegenüber hätten die Beschwerdeführerinnen in der Klageschrift gezeigt, dass infolge des Verhaltens der Parteien – konkret des Beschwerdegegners 1 – für eine normative Ver- tragsauslegung vorliegend von vornherein kein Platz bestehe. Vielmehr habe ein überein- stimmender tatsächlicher Parteiwille dahingehend bestanden, dass die Investoren (inklusive die Beschwerdeführerinnen) ihre wesentlichen Pflichten aus dem Investment Agreement mit Eingang der Sacheinlagen im Juli 2020 erfüllt hätten und alsdann nur noch die formelle Um- setzung der Kapitalerhöhung und Ausgabe der Beteiligungen an die Investoren zu vollziehen gewesen wären. Andernfalls lasse sich nicht erklären, inwiefern der Beschwerdegegner 1 nach Erhalt der Sacheinlagen der Beschwerdeführerinnen geglaubt habe, diese in einen Li- quiditätspool der Beschwerdegegnerin 2 – d.h. zu seinem eigenen Nutzen – einbringen und somit über diese verfügen zu dürfen, und zwar ohne Qualifikation als Zweckentfremdung der Sacheinlagen und somit als Veruntreuung i.S.v. Art. 138 StGB. 2.4 Die Beschwerdegegner würden bestreiten, dass das Verhalten des Beschwerdegegners 1 als Verfügung über die Sacheinlage zu qualifizieren sei. Sie argumentierten in der Klageant- wort – auf welche im Berichtigungsgesuch verwiesen worden sei – zusammengefasst, dass dem Liquiditätsgeber bei der Zurverfügungstellung von Liquidität keine Gegenpartei gegenü- berstehe, weshalb es auch am Gegenparteirisiko, d.h. am möglichen Verlust, welche eine Partei im Falle der Zahlungsunfähigkeit der Gegenpartei erleiden könne, fehle. Entsprechend – so die Beschwerdegegner – handle es sich bei einer Zurverfügungstellung von Liquidität an einen Liquiditätspool nicht um eine Verfügung über die entsprechenden Tokens. 2.5 Aus den vorstehenden Ausführungen folge, dass die Qualifikation des Verhaltens des Be- schwerdegegners 1 für die Entscheidfindung im erstinstanzlichen Verfahren und somit die Beurteilung der Ansprüche der Beschwerdeführerinnen zentral sei. Indem das Berichti- gungsgesuch hinsichtlich der sinngemässen deutschen Übersetzung der Antwort des Be- schwerdegegners 1 zur Frage 19 auf der Grundlage der vorstehend dargelegten Parteibe- hauptung der Beschwerdegegner im angefochtenen Entscheid jedoch gutgeheissen worden sei, stütze die Vorinstanz de facto die (unzutreffende) Argumentation der Beschwerdegegner. 2.6 Infolge der Protokolländerung, mit welcher eine Aussage des Beschwerdegegners 1 über einen zentralen prozessrelevanten Sachverhalt zu Ungunsten der Beschwerdeführerinnen abgeändert worden sei – und zu welcher den Beschwerdeführerinnen keine Möglichkeit der</w:t>
      </w:r>
    </w:p>
    <w:p>
      <w:r>
        <w:t>Seite 5/6 vorgängigen Stellungnahme eingeräumt worden sei, drohe den Beschwerdeführerinnen in letzter Konsequenz folglich ein nachteiliger Prozessausgang. Dies qualifiziere sich offenkun- dig als ein nicht wiedergutzumachender, ernsthafter Nachteil im Sinne von Art. 319 lit. b Ziff. 2 ZPO.</w:t>
      </w:r>
    </w:p>
    <w:p>
      <w:r>
        <w:rPr>
          <w:b/>
        </w:rPr>
        <w:t>E. 3</w:t>
      </w:r>
    </w:p>
    <w:p>
      <w:r>
        <w:t>Mit diesen Ausführungen vermögen die Beschwerdeführerinnen keinen nicht leicht wieder- gutzumachenden Nachteil rechtlicher Natur darzutun. Sie erleiden keinen Rechtsverlust, wenn sie den Entscheid des Referenten, mit welchem das Protokollberichtigungsgesuch der Beschwerdegegner teilweise gutgeheissen wurde, nicht anfechten können. Sollte die korri- gierte Passage im Protokoll zu einem für die Beschwerdeführerinnen nachteiligen Endent- scheid führen, so stünde es ihnen frei, diesen mittels Berufung anzufechten. In einem allfälli- gen Berufungsverfahren käme der Rechtsmittelinstanz umfassende Kognition zu (vgl. Art. 310 ZPO), was die volle Überprüfung des angefochtenen Entscheids in allen Rechts- und Sachfragen bedeutet (vgl. etwa Spühler, Basler Kommentar, a.a.O., Art. 310 ZPO N 1). Folglich könnte die Berufungsinstanz frei prüfen, ob die Korrektur im Protokoll zu Unrecht er- folgte und der darauf fussende Entscheid fehlerhaft ist. Ein nicht leicht wiedergutzumachen- der Nachteil rechtlicher Natur ist somit nicht gegeben. Auf die Beschwerde ist daher nicht einzutreten.</w:t>
      </w:r>
    </w:p>
    <w:p>
      <w:r>
        <w:rPr>
          <w:b/>
        </w:rPr>
        <w:t>E. 4</w:t>
      </w:r>
    </w:p>
    <w:p>
      <w:r>
        <w:t>Bei diesem Ausgang sind die Kosten des Beschwerdeverfahrens der Beschwerdeführerin aufzuerlegen (Art. 106 Abs. 1 ZPO). Zudem ist sie antragsgemäss zu verpflichten, die Be- schwerdegegner für das vorliegende Verfahren angemessen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