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142 vom 20. Februar 2025</w:t>
      </w:r>
    </w:p>
    <w:p>
      <w:r>
        <w:t>ZG Obergericht, 2025-02-20, DE</w:t>
      </w:r>
    </w:p>
    <w:p>
      <w:r>
        <w:rPr>
          <w:b/>
        </w:rPr>
        <w:t xml:space="preserve">Quelle: </w:t>
      </w:r>
      <w:r>
        <w:t>https://mcp.opencaselaw.ch/entscheid/zg_obergericht_BZ_2024_142</w:t>
      </w:r>
    </w:p>
    <w:p>
      <w:r>
        <w:t>FR: ZG_OBERGERICHT BZ 2024 142 du 20 février 2025</w:t>
      </w:r>
    </w:p>
    <w:p>
      <w:r>
        <w:t>IT: ZG_OBERGERICHT BZ 2024 142 del 20 febbraio 2025</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w:t>
      </w:r>
    </w:p>
    <w:p>
      <w:r>
        <w:t>Seite 3/6 Schuld inkl. Zinsen und Kosten weder getilgt noch gestundet (Art. 172 Ziff. 3 SchKG). Die Vorinstanz war daher verpflichtet, dem Konkursbegehren ohne Weiteres stattzugeben und über das in der Schweiz gelegene Vermögen der Beschwerdeführerin den Konkurs zu eröff- 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gehörigen Unterlagen zu verlängern (vgl. BGE 139 III 491 E. 4; Urteil des Bundesgerichts 5A_977/2022 vom 28. Februar 2023 E. 2.1.2).</w:t>
      </w:r>
    </w:p>
    <w:p>
      <w:r>
        <w:rPr>
          <w:b/>
        </w:rPr>
        <w:t>E. 3</w:t>
      </w:r>
    </w:p>
    <w:p>
      <w:r>
        <w:t>Die Beschwerdeführerin wies mittels Zahlungsbeleg der E.________ AG nach, dass sie am 18. Dezember 2024 einen Betrag von CHF 21'674.58 an die Beschwerdegegnerin überwie- sen hat (act. 1/3). Mit Schreiben vom 24. Dezember 2024 bestätigte die Beschwerdegegnerin den Erhalt des Betrages (act. 4). Die Beschwerdeführerin hat damit innerhalb der laufenden Rechtsmittelfrist die Konkursforderung von CHF 21'580.90 beglichen. Der Konkursaufhe- bungsgrund gemäss Art. 174 Abs. 2 Ziff. 1 SchKG ist somit gegeben. Im Folgenden bleibt zu prüfen, ob die Beschwerdeführerin ihre Zahlungsfähigkeit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w:t>
      </w:r>
    </w:p>
    <w:p>
      <w:r>
        <w:t>Seite 4/6 der Zahlungsgewohnheiten eines Konkursiten gewonnenen Gesamteindruck. Dabei sind auch Betreibungen, gegen die Rechtsvorschlag erhoben wurde, im Rahmen der Gesamt- betrachtung der Zahlungsgewohnheiten zu berücksichtigen. Der Schuldner ist daher grundsätzlich gehalten, zu jeder im Betreibungsregister nicht als erledigt aufgeführten Forde- rung Stellung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Basler Kommentar, 3. A. 2021, Art. 174 SchKG N 26).</w:t>
      </w:r>
    </w:p>
    <w:p>
      <w:r>
        <w:rPr>
          <w:b/>
        </w:rPr>
        <w:t>E. 5</w:t>
      </w:r>
    </w:p>
    <w:p>
      <w:r>
        <w:t>Zur Zahlungsfähigkeit der Beschwerdeführerin ist Folgendes festzuhalten:</w:t>
      </w:r>
    </w:p>
    <w:p>
      <w:r>
        <w:rPr>
          <w:b/>
        </w:rPr>
        <w:t>E. 5.1</w:t>
      </w:r>
    </w:p>
    <w:p>
      <w:r>
        <w:t>Das Konto der Beschwerdeführerin bei der E.________ AG hatte per 17. Dezember 2024 ei- nen positiven Saldo von CHF 10'853.32 (vgl. act. 1/8). Die Beschwerdeführerin macht gel- tend, mit dem Abschluss laufender Projekte würden ihr bis Februar 2025 Einnahmen von CHF 151'868.55 zufliessen. Diesen Einnahmen stehen aber nach eigener Darstellung der Beschwerdeführerin Ausgaben von CHF 143'046.45 bis Ende Februar 2025 gegenüber (vgl. act. 1/4).</w:t>
      </w:r>
    </w:p>
    <w:p>
      <w:r>
        <w:rPr>
          <w:b/>
        </w:rPr>
        <w:t>E. 5.2</w:t>
      </w:r>
    </w:p>
    <w:p>
      <w:r>
        <w:t>Die Beschwerdeführerin reichte keinen Auszug aus dem Betreibungsregister ein, sondern nur einen "Konto Auszug" des Betreibungsamtes Zug für die Periode vom 1. Januar 2024 bis 16. Dezember 2024 sowie eine Liste "Auskunft Schuldner" des Betreibungsamtes Zug vom 16. Dezember 2024 (vgl. act. 1/7). Gemäss der Liste "Auskunft Schuldner" sind gegen die Beschwerdeführerin – nach Abzug der Betreibungsforderung, die zur Konkurseröffnung ge- führt hat, und nach Abzug der weiteren durch Zahlung erledigten Betreibungen – Betreibun- gen in der Höhe von CHF 369'550.04 offen. Der Liste "Konto Auszug" kann sodann entnom- men werden, dass die Beschwerdeführerin – soweit ersichtlich im Zusammenhang mit der Bewilligung von Aufschub-Raten – von Februar bis November 2024 Abzahlungsraten in der Höhe von insgesamt CHF 34'243.71 bezahlt hat. Damit belaufen sich die offenen Schulden auf CHF 335'306.33. In der ergänzenden Eingabe vom 6. Januar 2025 bezifferte die Be- schwerdeführerin ihre offenen Schulden – in Abweichung von den Angaben in der Be- schwerdeschrift – auf CHF 319'860.14, da sie zusätzliche Abzahlungsraten in Höhe von CHF 15'446.19 geleistet habe (vgl. act. 5/2). Damit blieben immer noch offene Schulden in Höhe von CHF 319'860.14, welche weder durch das Bankguthaben noch durch die Einnah- me, welche ihr bis Ende Februar 2025 zufliessen werden, gedeckt werden könnten.</w:t>
      </w:r>
    </w:p>
    <w:p>
      <w:r>
        <w:rPr>
          <w:b/>
        </w:rPr>
        <w:t>E. 5.3</w:t>
      </w:r>
    </w:p>
    <w:p>
      <w:r>
        <w:t>Zur Glaubhaftmachung weiterer erwarteter Zahlungen verweist die Beschwerdeführerin auf ihren laufenden Grossauftrag der F.________AG und weitere geplante Photovoltaik-Projekte in der Schweiz, Deutschland und Italien (vgl. act. 1/6, act. 5/4-6). Die F.________AG erklärte mit Schreiben vom 7. Januar 2025, dass sie über weitere Liegenschaften verfüge, für welche ebenfalls eine Photovoltaik-Anlage gebaut werden solle (vgl. act. 6/1-2). Weiter fanden Ge- spräche mit der G.________AG zwecks zukünftiger Investitionen statt (vgl. act. 5/4). Ferner stand die Beschwerdeführerin in Kontakt mit der H.________, welche Photovoltaik-Projekte vermittelt (vgl. act. 5/5-6). Selbst wenn diese Projekte dereinst realisiert werden könnten, stünden die dannzumaligen Einnahmen aus diesen Projekten nicht zur Begleichung der heu- te fälligen Schulden zur Verfügung. Abgesehen davon dokumentieren die Projekte zwar die Bemühungen der Beschwerdeführerin, ihre Zahlungsfähigkeit wiederherzustellen und ihre</w:t>
      </w:r>
    </w:p>
    <w:p>
      <w:r>
        <w:t>Seite 5/6 Schulden zurückzuzahlen. Die Angaben zu den Grossprojekten im Ausland, zu den Projekten in der Schweiz und zu den Gesprächen mit der G.________AG betreffend Finanzierung sind jedoch zu wenig konkret, um aufzuzeigen, dass die Beschwerdeführerin damit in absehbarer Zeit ihre Schulden abbauen und ihre Zahlungsfähigkeit wiederherstellen kann. Schliesslich hilft auch der Hinweis auf den unglücklichen Projektverlauf im Jahre 2024 und die familiäre Situation des Geschäftsführers der Beschwerdeführerin (act. 5 S. 4, act. 5/3) nicht weiter. Es ist zu bedauern, wenn das Projekt schlecht vorbereitet war, es Unstimmigkeiten mit der Bau- herrschaft gab, die Preise bei den Modulen der Photovoltaikprojekten von Ende 2023 bis An- fang 2024 zerfielen und die Bauherrschaft den Anlagepreis aufdiktierte. All diese Gründe spielen jedoch bei der Beurteilung der Zahlungsfähigkeit keine Rolle. Ebenso wenig kann die familiäre Situation des Geschäftsführers der Beschwerdeführerin berücksichtigt werden. Ent- scheidend für die Beurteilung der Zahlungsfähigkeit ist, ob ausreichend liquide Mittel zur Be- gleichung der fälligen Schulden vorhanden sind oder in nächster Zukunft vorhanden sein werden. Diesbezüglich ist auf das oben Gesagte zu verweisen.</w:t>
      </w:r>
    </w:p>
    <w:p>
      <w:r>
        <w:rPr>
          <w:b/>
        </w:rPr>
        <w:t>E. 5.4</w:t>
      </w:r>
    </w:p>
    <w:p>
      <w:r>
        <w:t>Insgesamt vermag die Beschwerdeführerin somit nicht glaubhaft zu machen, dass sie in der Lage ist, nebst den laufenden Verbindlichkeiten die offenen, in Betreibung gesetzten Schul- den in der Höhe von CHF 319'860.14 innert angemessener Frist abzutragen. Es kann des- halb nicht davon ausgegangen werden, dass die Konkurseröffnung bloss auf eine vorüber- gehende Illiquidität zurückzuführen ist. Die Beschwerdeführerin gilt daher als zahlungsun- fähig, was zur Abweisung der Beschwerde führt. Da der Beschwerde keine aufschiebende Wirkung zuerkannt wurde, muss das Datum der Konkurseröffnung nicht neu auf den Zeit- punkt des vorliegenden Beschwerdeentscheids festgesetzt werden. Es bleibt beim Entscheid der Einzelrichterin, wonach der Konkurs am 10. Dezember 2024 eröffnet wurde.</w:t>
      </w:r>
    </w:p>
    <w:p>
      <w:r>
        <w:rPr>
          <w:b/>
        </w:rPr>
        <w:t>E. 6</w:t>
      </w:r>
    </w:p>
    <w:p>
      <w:r>
        <w:t>Die Beschwerdeführerin ist aber auf Art. 195 SchKG hinzuweisen, wonach die Möglichkeit eines nachträglichen Widerrufs des Konkurses durch das Konkursgericht besteht, wenn nachgewiesen wird, dass sämtliche Forderungen beglichen sind oder von jedem Gläubiger eine schriftliche Erklärung über den Rückzug seiner Konkurseingabe vorliegt oder ein Nach- lassvertrag zustande gekommen ist (Art. 332 Abs. 3 SchKG; vgl. dazu Diggelmann, in: Hunkeler [Hrsg.], Kurzkommentar, 2. A. 2014, Art. 195 SchKG N 3, 3a und 5).</w:t>
      </w:r>
    </w:p>
    <w:p>
      <w:r>
        <w:rPr>
          <w:b/>
        </w:rPr>
        <w:t>E. 7</w:t>
      </w:r>
    </w:p>
    <w:p>
      <w:r>
        <w:t>Ausgangsgemäss sind die Kosten des Beschwerdeverfahrens der Beschwerdeführerin auf- zuerlegen und mit dem von ihr geleisteten Kostenvorschuss zu verrechnen (Art. 106 Abs. 1 und Art. 111 Abs. 1 ZPO). Der Restbetrag ist zuhanden der Konkursmasse an das Konkur- samt Zug zu überweisen.</w:t>
      </w:r>
    </w:p>
    <w:p>
      <w:r>
        <w:t>Seite 6/6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