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123 vom 3. Dezember 2024</w:t>
      </w:r>
    </w:p>
    <w:p>
      <w:r>
        <w:t>ZG Obergericht, 2024-12-03, DE</w:t>
      </w:r>
    </w:p>
    <w:p>
      <w:r>
        <w:rPr>
          <w:b/>
        </w:rPr>
        <w:t xml:space="preserve">Quelle: </w:t>
      </w:r>
      <w:r>
        <w:t>https://mcp.opencaselaw.ch/entscheid/zg_obergericht_BZ_2024_123</w:t>
      </w:r>
    </w:p>
    <w:p>
      <w:r>
        <w:t>FR: ZG_OBERGERICHT BZ 2024 123 du 3 décembre 2024</w:t>
      </w:r>
    </w:p>
    <w:p>
      <w:r>
        <w:t>IT: ZG_OBERGERICHT BZ 2024 123 del 3 dicembre 2024</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w:t>
      </w:r>
    </w:p>
    <w:p>
      <w:r>
        <w:t>Seite 3/6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Die Beschwerdeführerin zahlte in verschiedenen Teilbeträgen beim Betreibungsamt Zug ins- gesamt CHF 55'077.00 per 23. Oktober 2024 ein. Belegt hat sie diese Zahlungen mit einer Liste der aktuell offenen Betreibungen des Betreibungsamtes Zug vom 23. Oktober 2024 so- wie einem Kontoauszug des Betreibungsamtes Zug für die Periode vom 1. Januar 2024 bis 23. Oktober 2024 (vgl. act. 1 Rz 4, act. 1/3-4). Gemäss bundesgerichtlicher Rechtsprechung ist eine Tilgung der Schuld beim Betreibungsamt im Sinne von Art. 12 SchKG bis zum Ablauf der Beschwerdefrist möglich. Auch wenn es von der zeitlichen Abfolge her nach der erstin- stanzlichen Konkurseröffnung an sich keine Spezialexekution mehr gebe – so das Bundes- gericht –, habe Art. 174 Abs. 2 Ziff. 1 SchKG offensichtlich nicht nur die direkte Bezahlung an den Gläubiger im Auge (vgl. Urteil des Bundesgerichts 5A_865/2013 vom 21. Januar 2014 E. 3). Mit der vom Betreibungsamt ausgestellten Quittung und Abrechnung kann der Urkun- denbeweis i.S.v. Art. 174 Abs. 2 Ziff. 1 SchKG geführt werden (vgl. Giroud/Simoni, Basler Kommentar, 3. A. 2021, Art. 174 SchKG N 21b). Vorliegend hat die Beschwerdeführerin mit den eingereichten Belegen des Betreibungsamtes Zug den Nachweis erbracht, dass die For- derung der Beschwerdegegnerin in Höhe von CHF 3'578.55 gedeckt und der in Art. 174 Abs. 2 Ziff. 1 SchKG erwähnte Konkursaufhebungsgrund gegeben ist.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w:t>
      </w:r>
    </w:p>
    <w:p>
      <w:r>
        <w:t>Seite 4/6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Die Beschwerdeführerin reichte keinen Auszug aus dem Betreibungsregister, sondern nur eine Aufstellung der offenen Betreibungen ein. Aus der Liste der offenen Betreibungen des Betreibungsamtes Zug vom 23. Oktober 2024 geht hervor, dass in gut eineinhalb Jahren – inklusive der vorliegenden Betreibung, die zur Konkurseröffnung geführt hat – insgesamt 19 Betreibungsforderungen über total CHF 55'077.00 nicht bezahlt wurden (vgl. act. 1/3). Mittlerweils konnte die Beschwerdeführerin sämtliche offenen Forderungen in Höhe von CHF 55'077.00 begleichen, was sie mit dem eingereichten Kontoauszug für die Periode vom 1. Januar 2024 bis 23. Oktober 2024 belegt hat (vgl. act. 1/4). Es resultierte per 23. Oktober 2024 ein Guthaben beim Betreibungsamt Zug in Höhe von CHF 2'123.00 (vgl. act. 1 Rz 4). Somit sind beim Betreibungsamt Zug derzeit keine Betreibungen mehr offen.</w:t>
      </w:r>
    </w:p>
    <w:p>
      <w:r>
        <w:rPr>
          <w:b/>
        </w:rPr>
        <w:t>E. 5.2</w:t>
      </w:r>
    </w:p>
    <w:p>
      <w:r>
        <w:t>Das Konto der Beschwerdeführerin bei der E.________ hatte per 16. Oktober 2024 einen positiven Saldo von CHF 552.73 (vgl. act. 1/5). Auf dem Konto der F.________ lagen per 17. Oktober 2024 CHF 134.63 (vgl. act. 1/6). Somit stehen liquide Barmittel von knapp CHF 600.00 zur Verfügung. Da beim Betreibungsamt Zug aktuell keine offenen Betreibungen mehr bestehen, halten sich Schulden und Guthaben gerade die Waage.</w:t>
      </w:r>
    </w:p>
    <w:p>
      <w:r>
        <w:rPr>
          <w:b/>
        </w:rPr>
        <w:t>E. 5.3</w:t>
      </w:r>
    </w:p>
    <w:p>
      <w:r>
        <w:t>Gemäss Zwischenbilanz per 23. Oktober 2024 (act. 1/7) verfügt die Beschwerdeführerin über ein Umlaufvermögen ("Current assets") von CHF 570'668.28, bestehend aus "Cash and equivalents and securities" von CHF 3'192.17, "Transit account" von minus CHF 16'839.60, "Trade receivables" von CHF 542'608.68 und "Other short-term receivables" von CHF 41'707.03. Demgegenüber beträgt das kurzfristige Fremdkapital ("Short-term liabilities") total CHF 196'383.59. Das Umlaufvermögen übersteigt das kurzfristige Fremdkapital dem- nach bei weitem. Auch die Gewinn- und Verlustrechnung per 23. Oktober 2024 zeigt, wenn auch knapp, ein positives Bild. Es resultierte ein Gewinn nach Steuern ("After-tax profit") von CHF 4'864.98.</w:t>
      </w:r>
    </w:p>
    <w:p>
      <w:r>
        <w:rPr>
          <w:b/>
        </w:rPr>
        <w:t>E. 5.4</w:t>
      </w:r>
    </w:p>
    <w:p>
      <w:r>
        <w:t>Trotz angespannter Liquiditätslage war die Beschwerdeführerin in der Lage, innert kurzer Zeit genügend Mittel aufzubringen, um die Konkursforderung samt Zinsen und Verfahrens- kosten zu decken und sämtliche in Betreibung gesetzten Forderungen zu begleichen. Sie verfügt zwar über wenig liquide Mittel, hat aber offene Debitorenforderungen in Höhe von CHF 542'608.68 (gemäss Zwischenbilanz per 23. Oktober 2024; vgl. act. 1/7) bzw. von CHF 559'497.10 (gemäss [undatierter] Debitorenliste; vgl. act. 1/9). Innert laufender Be- schwerdefrist flossen der Beschwerdeführerin neue Mittel in Höhe von CHF 2'435.00 aus Debitorenforderungen zu (vgl. act. 1/10), was zeigt, dass laufend offene Rechnungen bezahlt</w:t>
      </w:r>
    </w:p>
    <w:p>
      <w:r>
        <w:t>Seite 5/6 werden. Mit den vorhandenen Debitoren von rund CHF 540'000.00 sollten demnach auch die übrigen Schulden kurz- bis mittelfristig beglichen werden können.</w:t>
      </w:r>
    </w:p>
    <w:p>
      <w:r>
        <w:rPr>
          <w:b/>
        </w:rPr>
        <w:t>E. 5.5</w:t>
      </w:r>
    </w:p>
    <w:p>
      <w:r>
        <w:t>Bei sehr grosszügiger Betrachtungsweise kann aufgrund der vorhandenen Angaben und Be- lege angenommen werden, dass die Beschwerdeführerin demnächst wieder in der Lage ist, ihren Verpflichtungen nachzukommen. Die Zahlungsfähigkeit ist damit insgesamt glaubhaft gemacht. Die Beschwerdeführerin muss sich allerdings im Klaren sein, dass im Falle einer erneuten Konkurseröffnung höhere Anforderungen an die Glaubhaftmachung der Zahlungs- fähigkeit gestellt würden.</w:t>
      </w:r>
    </w:p>
    <w:p>
      <w:r>
        <w:rPr>
          <w:b/>
        </w:rPr>
        <w:t>E. 6</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Hingegen hat sie die Beschwerdegegnerin, die keine Vernehmlassung einreichte, mangels Umtrieben für das vorliegende Verfahren nicht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