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49 vom 5. Juni 2023</w:t>
      </w:r>
    </w:p>
    <w:p>
      <w:r>
        <w:t>ZG Obergericht, 2023-06-05, DE</w:t>
      </w:r>
    </w:p>
    <w:p>
      <w:r>
        <w:rPr>
          <w:b/>
        </w:rPr>
        <w:t xml:space="preserve">Quelle: </w:t>
      </w:r>
      <w:r>
        <w:t>https://mcp.opencaselaw.ch/entscheid/zg_obergericht_BZ_2023_49</w:t>
      </w:r>
    </w:p>
    <w:p>
      <w:r>
        <w:t>FR: ZG_OBERGERICHT BZ 2023 49 du 5 juin 2023</w:t>
      </w:r>
    </w:p>
    <w:p>
      <w:r>
        <w:t>IT: ZG_OBERGERICHT BZ 2023 49 del 5 giugno 2023</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weder getilgt noch gestundet (Art. 172 Ziff. 3 SchKG). Die Vorinstanz war daher ver- pflichtet, dem Konkursbegehren ohne Weiteres stattzugeben und über das in der Schweiz gelegene Vermögen der Beschwerdeführerin den Konkurs zu eröffnen.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gehörigen Unterlagen zu verlängern (vgl. BGE 139 III 491 E. 4; Urteil des Bundesgerichts 5A_1005/2020 vom 19. Januar 2021 E. 3.1.2).</w:t>
      </w:r>
    </w:p>
    <w:p>
      <w:r>
        <w:rPr>
          <w:b/>
        </w:rPr>
        <w:t>E. 3</w:t>
      </w:r>
    </w:p>
    <w:p>
      <w:r>
        <w:t>Nach Art. 138 ZPO erfolgt die Zustellung von Vorladungen, Verfügungen und Entscheiden durch eingeschriebene Postsendung oder auf andere Weise gegen Empfangsbestätigung (Abs. 1). Bei einer eingeschriebenen Postsendung, die nicht abgeholt worden ist, gilt die Zu- stellung als am siebten Tag nach dem erfolglosen Zustellungsversuch erfolgt, sofern die Per- son mit einer Zustellung rechnen musste (Abs. 3 lit. a; "Zustellfiktion"). Der vom Kantonsgericht am 25. April 2023 eingeschrieben versandte Konkursentscheid konnte der Beschwerdeführerin nicht ausgehändigt werden, weshalb ihr am 27. April 2023 die Abholungseinladung in den Briefkasten gelegt wurde. Innerhalb der 7-tägigen Abholungs- frist holte die Beschwerdeführerin die Sendung nicht ab. Da sie aufgrund der Vorladung zur Konkursverhandlung (vgl. Empfangsbestätigung Vi act. 5) Kenntnis vom Verfahren hatte und mit der Zustellung eines Entscheides rechnen musste, gilt das Konkursdekret als am letzten Tag der Abholungsfrist, d.h. am 4. Mai 2023, als zugestellt. Somit begann die 10-tägige Be- schwerdefrist am 5. Mai 2023 zu laufen und endete am 15. Mai 2023 (der 14. Mai 2023 war ein Sonntag; vgl. Art. 174 Abs. 1 SchKG i.V.m. Art. 142 Abs. 3 ZPO). Die von der Beschwer- deführerin nach diesem Datum am 17. und 23. Mai 2023 zur Post gegebenen Eingaben sind daher verspätet und können nicht berücksichtigt werden.</w:t>
      </w:r>
    </w:p>
    <w:p>
      <w:r>
        <w:rPr>
          <w:b/>
        </w:rPr>
        <w:t>E. 4</w:t>
      </w:r>
    </w:p>
    <w:p>
      <w:r>
        <w:t>Die Beschwerdeführerin hinterlegte am 10. Mai 2023 bei der Gerichtskasse CHF 5'604.20 zugunsten der Beschwerdegegnerin. Die Konkursforderung samt Zinsen und Kosten wurde damit innert der 10-tägigen Rechtsmittelfrist getilgt. Der in Art. 174 Abs. 2 Ziff. 1 SchKG er- wähnte Konkursaufhebungsgrund ist mithin gegeben. Im Folgenden bleibt zu prüfen, ob die Beschwerdeführerin ihre Zahlungsfähigkeit glaubhaft gemacht hat.</w:t>
      </w:r>
    </w:p>
    <w:p>
      <w:r>
        <w:t>Seite 4/6</w:t>
      </w:r>
    </w:p>
    <w:p>
      <w:r>
        <w:rPr>
          <w:b/>
        </w:rPr>
        <w:t>E. 5</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auch Betreibungen, gegen die Rechtsvorschlag erhoben wurde, im Rahmen der Gesamt- betrachtung der Zahlungsgewohnheiten zu berücksichtigen. Der Schuldner ist daher grundsätzlich gehalten, zu jeder im Betreibungsregister nicht als erledigt aufgeführten Forde- rung Stellung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a.a.O., Art. 174 SchKG N 26).</w:t>
      </w:r>
    </w:p>
    <w:p>
      <w:r>
        <w:rPr>
          <w:b/>
        </w:rPr>
        <w:t>E. 6</w:t>
      </w:r>
    </w:p>
    <w:p>
      <w:r>
        <w:t>Zur Glaubhaftmachung ihrer Zahlungsfähigkeit reichte die Beschwerdeführerin zwei Konto- auszüge der F.________ AG ein, gemäss welchen sie per Ende April bzw. Anfang Mai 2023 über ein Guthaben von CHF 16'241.18 verfügte (act. 1/5, 4/4). Ferner legte sie vier Rech- nungen vom 5., 6. und 19. April 2023 an zwei verschiedene Kunden über total CHF 14'715.45 ins Recht (act. 1/1-1/4). Die Rechnungen vom 19. April 2023 über je CHF 4'178.75 sind jedoch identisch (act. 1/3-1/4), womit sich die offenen Debitoren bloss auf CHF 10'536.70 belaufen. Dem kurzfristigen Guthaben von rund CHF 26'800.00 stehen gemäss dem eingereichten Betreibungsauszug vom 6. Februar 2023 (act. 4/3) – nebst der getilgten Konkursforderung der Beschwerdegegnerin – neun Betreibungsforderungen über insgesamt CHF 66'160.60 gegenüber. Ins Gewicht fallen dabei insbesondere die drei Betrei- bungen Nrn. G.________, H.________ und I.________ über CHF 1'911.85, CHF 3'396.85 und CHF 58'000.00, gegen welche die Beschwerdeführerin Rechtsvorschlag erhoben hat. Trotz entsprechendem Hinweis des Abteilungspräsidenten im Schreiben vom 8. Mai 2023 (act. 5) äusserte sich die Beschwerdeführerin innert laufender Rechtsmittelfrist nicht zu die- sen Betreibungen. Nachdem die Beschwerdeführerin auch bei allen anderen Betreibungen, die nicht bis zur Konkursandrohung oder Pfändung fortgeschritten sind, systematisch Rechtsvorschlag erhoben hat, kann nicht darauf geschlossen werden, dass all diese Betrei-</w:t>
      </w:r>
    </w:p>
    <w:p>
      <w:r>
        <w:t>Seite 5/6 bungen unbegründet sind. Dem ausgewiesenen kurzfristigen Guthaben von rund CHF 26'800.00 stehen somit Betreibungsforderungen von über CHF 66'000.00 gegenüber. Hinzu kommen Lohnforderungen der Arbeitnehmer in unbekannter Höhe, hat doch die Beschwer- deführerin im Beschwerdeverfahren geltend gemacht hat, sie könne die aktuellen Löhne auf- grund der konkursamtlichen Sperrung des Bankkontos nicht begleichen. Unter diesen Um- ständen vermögen die ausgewiesenen kurzfristigen Aktiven das kurzfristige Fremdkapital bei Weitem nicht zu decken. Zudem hat die Beschwerdeführerin – ebenfalls trotz entsprechen- dem Hinweis des Abteilungspräsidenten vom 8. Mai 2023 – innert der Rechtsmittelfrist auch keinen aktuellen Zwischenabschluss oder Status eingereicht. Die tatsächliche finanzielle Si- tuation der Beschwerdeführerin, die bereits aufgrund der eingereichten Unterlagen als ange- schlagen beurteilt werden muss, lässt sich daher nicht schlüssig beurteilen. Die Beschwerde- führerin hat ihre Zahlungsfähigkeit somit nicht glaubhaft gemacht. Ihre Beschwerde erweist sich als unbegründet und ist abzuweisen. Da der Beschwerde keine aufschiebende Wirkung zuerkannt wurde, muss das Datum der Konkurseröffnung nicht neu auf den Zeitpunkt des vorliegenden Beschwerdeentscheids festgesetzt werden.</w:t>
      </w:r>
    </w:p>
    <w:p>
      <w:r>
        <w:rPr>
          <w:b/>
        </w:rPr>
        <w:t>E. 7</w:t>
      </w:r>
    </w:p>
    <w:p>
      <w:r>
        <w:t>Bei diesem Ausgang sind die Kosten des Beschwerdeverfahrens der Beschwerdeführerin aufzuerlegen und mit dem von ihr geleisteten Kostenvorschuss zu verrechnen (Art. 106 Abs. 1 und Art. 111 Abs. 1 ZPO). Der Restbetrag ist zuhanden der Konkursmasse an das Konkursamt Zug zu überweisen. Dasselbe gilt für den von der Beschwerdeführerin zuguns- ten der Beschwerdegegnerin hinterlegten Betrag von CHF 5'604.20.</w:t>
      </w:r>
    </w:p>
    <w:p>
      <w:r>
        <w:t>Seite 6/6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