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27 vom 4. April 2023</w:t>
      </w:r>
    </w:p>
    <w:p>
      <w:r>
        <w:t>ZG Obergericht, 2023-04-04, DE</w:t>
      </w:r>
    </w:p>
    <w:p>
      <w:r>
        <w:rPr>
          <w:b/>
        </w:rPr>
        <w:t xml:space="preserve">Quelle: </w:t>
      </w:r>
      <w:r>
        <w:t>https://mcp.opencaselaw.ch/entscheid/zg_obergericht_BZ_2023_27</w:t>
      </w:r>
    </w:p>
    <w:p>
      <w:r>
        <w:t>FR: ZG_OBERGERICHT BZ 2023 27 du 4 avril 2023</w:t>
      </w:r>
    </w:p>
    <w:p>
      <w:r>
        <w:t>IT: ZG_OBERGERICHT BZ 2023 27 del 4 aprile 2023</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weder getilgt noch gestundet (Art. 172 Ziff. 3 SchKG). Die Vorinstanz war daher ver- pflichtet, dem Konkursbegehren ohne Weiteres stattzugeben und über das Vermögen der Beschwerdeführerin den Konkurs zu eröffnen.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w:t>
      </w:r>
    </w:p>
    <w:p>
      <w:r>
        <w:t>Seite 3/6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 hörigen Unterlagen zu verlängern (vgl. BGE 139 III 491 E. 4; Urteil des Bundesgerichts 5A_1005/2020 vom 19. Januar 2021 E. 3.1.2).</w:t>
      </w:r>
    </w:p>
    <w:p>
      <w:r>
        <w:rPr>
          <w:b/>
        </w:rPr>
        <w:t>E. 3</w:t>
      </w:r>
    </w:p>
    <w:p>
      <w:r>
        <w:t>Die Beschwerdeführerin hinterlegte am 28. Februar 2023, mithin innerhalb der laufenden Be- schwerdefrist, den Betrag von CHF 1'947.65 bei der Gerichtskasse zur Sicherstellung der Forderung der Beschwerdegegnerin von CHF 1'747.65 (vgl. act. 1/9). Der in Art. 174 Abs. 2 Ziff. 2 SchKG erwähnte Konkursaufhebungsgrund ist mithin gegeben. Im Folgenden bleibt zu prüfen, ob die Beschwerdeführerin ihre Zahlungsfähigkeit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 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 auch Betreibungen, gegen die Rechtsvorschlag erhoben wurde, im Rahmen der Gesamtbe- trachtung der Zahlungsgewohnheiten zu berücksichtigen. Der Schuldner ist daher grundsätz- lich gehalten, zu jeder im Betreibungsregister nicht als erledigt aufgeführten Forderung Stel- 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Basler Kommentar, 3. A. 2021, Art. 174 SchKG N 26).</w:t>
      </w:r>
    </w:p>
    <w:p>
      <w:r>
        <w:t>Seite 4/6</w:t>
      </w:r>
    </w:p>
    <w:p>
      <w:r>
        <w:rPr>
          <w:b/>
        </w:rPr>
        <w:t>E. 5</w:t>
      </w:r>
    </w:p>
    <w:p>
      <w:r>
        <w:t>und ER 2023 7), wie aus der Geschäftskontrolle des Kantonsgerichts Zug hervorgeht. Folg- lich sind bei der Beurteilung der Zahlungsfähigkeit offene Forderungen im Gesamtumfang von CHF 38'230.00 zu berücksichtigen.</w:t>
      </w:r>
    </w:p>
    <w:p>
      <w:r>
        <w:rPr>
          <w:b/>
        </w:rPr>
        <w:t>E. 5.1</w:t>
      </w:r>
    </w:p>
    <w:p>
      <w:r>
        <w:t>Gemäss dem von der Beschwerdeführerin eingereichten Auszug aus dem Betreibungsregis- ter des Betreibungsamtes Zug vom 28. Februar 2023 wurden gegen sie – nebst der Betrei- bung, die zur Konkurseröffnung geführt hat und aufgrund der Hinterlegung des geschuldeten Betrags bei der Gerichtskasse erledigt ist – seit März 2020 insgesamt 15 Betreibungen über total CHF 70'916.90 anhängig gemacht (vgl. act. 1/14). Davon sind 11 Betreibungen über insgesamt CHF 28'878.24 durch Bezahlung an das Betreibungsamt erledigt bzw. erloschen. Eine Betreibung über CHF 3'808.66 befindet sich im Stadium der Konkursandrohung (Nr. E.________). Zwei weitere Betreibungen über CHF 19'890.25 (Nr. F.________) und über CHF 9'629.05 (Nr. G.________) sind durch Rechtsvorschlag gehemmt. Bei einer Be- treibung über CHF 8'710.70 wurde der Zahlungsbefehl zugestellt (Nr. H.________). Offen sind demnach gemäss Betreibungsregisterauszug vier Forderungen im Gesamtbetrag von CHF 42'038.66.</w:t>
      </w:r>
    </w:p>
    <w:p>
      <w:r>
        <w:rPr>
          <w:b/>
        </w:rPr>
        <w:t>E. 5.2</w:t>
      </w:r>
    </w:p>
    <w:p>
      <w:r>
        <w:t>Die Beschwerdeführerin hat innert laufender Beschwerdefrist die Forderung der I.________ von CHF 3'808.66 (Betreibung Nr. E.________), die sich gemäss Betreibungsregisterauszug im Stadium der Konkursandrohung befindet und für welche beim Kantonsgericht des Kantons Zug bereits ein weiteres Konkursverfahren eingeleitet worden ist (Verfahren EK 2023 60), bezahlt (vgl. act. 1/12). Entsprechend konnte das Konkursverfahren EK 2023 60 mit Ent- scheid des Einzelrichters am Kantonsgericht Zug vom 15. März 2023 durch Zahlung erledigt werden, wie der Geschäftskontrolle des Kantonsgerichts Zug zu entnehmen ist. Weiter er- klärt die Beschwerdeführerin, sie bestreite die Forderung der J.________ AG über CHF 19'890.25 (Betreibung Nr. F.________; vgl. act. 1 S. 8 Rz 8). Diese Betreibung wurde am 22. März 2022 eingeleitet, von der Beschwerdeführerin mit Rechtsvorschlag bestritten und seither offenbar nicht weiterverfolgt. Da die Betreibung aber noch keine zwei Jahre zurückliegt, ist sie bei der Beurteilung der Zahlungsfähigkeit gleichwohl zu berücksichtigen (vgl. Urteil des Obergerichts des Kantons Zürich PS200011 vom 19. März 2020 E. 5.3.3). Für die beiden noch offenen Betreibungen der K.________ über CHF 8'710.70 und CHF 9'629.05 (Betreibungen Nrn. H.________ und G.________) erteilte die Einzelrichterin am Kantonsge- richt Zug mit Entscheiden vom 27. Januar 2023 definitive Rechtsöffnung (Verfahren ER 2023</w:t>
      </w:r>
    </w:p>
    <w:p>
      <w:r>
        <w:rPr>
          <w:b/>
        </w:rPr>
        <w:t>E. 5.3</w:t>
      </w:r>
    </w:p>
    <w:p>
      <w:r>
        <w:t>Die (unterzeichnete) Bilanz der Beschwerdeführerin per 31. Dezember 2022 (vgl. act. 1/15) weist ein Umlaufvermögen von total CHF 5'061'953.29 aus ("Cash and Short-term Listed Se- curities Holdings" von CHF 6'390.81, "Account Receivable from Sales and Services Provi- sions" von CHF 148'711.14", "Other Short-term Receivables" von CHF 3'806'296.37, "Un- billed Inventory and Services" von CHF 1'088'890.17 und "Prepaid Expenses" von CHF 11'664.80). Demgegenüber beläuft sich das kurzfristige Fremdkapital ("Short-term Foreign Capital") auf CHF 721'058.12. Das Umlaufvermögen übersteigt dieses somit bei wei- tem. Zudem sind die im Betreibungsregisterauszug ausgewiesenen Verbindlichkeiten der Beschwerdeführerin durch die Summe aus den liquiden Mitteln und den Debitoren aus Leis- tungen und Lieferungen gedeckt. Die Gewinn- und Verlustrechnung per 31. Dezember 2022 (act. 1/15) zeigt ein positives Bild. Dem Bruttogewinn ("Gross Operating Profit") von CHF 237'914.64 stehen Ausgaben ("Administrative Expenses", "Financial Charges and</w:t>
      </w:r>
    </w:p>
    <w:p>
      <w:r>
        <w:t>Seite 5/6 Revenues" und "Exceptional, Unique, or Non recurring Charges and Revenues") von CHF 80'566.89 gegenüber, womit sich ein Reingewinn ("Profit before taxes") von CHF 157'347.75 für das Jahr 2022 ergab.</w:t>
      </w:r>
    </w:p>
    <w:p>
      <w:r>
        <w:rPr>
          <w:b/>
        </w:rPr>
        <w:t>E. 5.4</w:t>
      </w:r>
    </w:p>
    <w:p>
      <w:r>
        <w:t>Schliesslich hat die Beschwerdeführerin dargelegt, dass sie am 31. Januar 2023 mit der L.________, Lettland, einen Vertrag über die Lieferung von 600 Tonnen Diesel im Wert von EUR 587'400.00 abgeschlossen hat. Gestützt auf diesen Vertrag hat die Beschwerdeführerin der lettischen Käuferin am 7. Februar 2023 eine Teilrechnung ("Proforma invoice", "Partial Payment 1") über EUR 500'000.00 gesandt, zahlbar auf ein Konto der Beschwerdeführerin bei der M.________ in Genf. Nach Angaben der Beschwerdeführerin soll die lettische Käufe- rin diesen Betrag am 14. Februar 2023 auf ein Transferkonto der M.________ zugunsten der Beschwerdeführerin überwiesen haben. Das Geld soll der Beschwerdeführerin gutgeschrie- ben werden, sobald der Konkursbeschlag auf ihren Bankkonti aufgehoben ist. Die Be- schwerdeführerin hat den nach Lettland zu liefernden Diesel von der N.________, Zypern, für EUR 450'000.00 beschafft, so dass ein Gewinn von (einstweilen) EUR 50'000.00 resultie- ren würde. Mit diesem Betrag will die Beschwerdeführerin alle offenen Rechnungen beglei- chen (vgl. act. 1 S. 3 Rz 2 ff., act. 1/4-1/8).</w:t>
      </w:r>
    </w:p>
    <w:p>
      <w:r>
        <w:rPr>
          <w:b/>
        </w:rPr>
        <w:t>E. 5.5</w:t>
      </w:r>
    </w:p>
    <w:p>
      <w:r>
        <w:t>Auch wenn nicht restlos geklärt ist, ob die Beschwerdeführerin in Kürze über EUR 50'000.00 verfügen wird, kann aufgrund der Angaben und Belege der Beschwerdeführerin angenom- men werden, dass sie in der Lage ist, ihren künftigen Verpflichtungen nachzukommen. Ihre Zahlungsfähigkeit erscheint demnach intakt. Die Beschwerdeführerin muss sich allerdings im Klaren sein, dass im Falle einer erneuten Konkurseröffnung deutlich höhere Anforderungen an die Glaubhaftmachung der Zahlungsfähigkeit gestellt würden.</w:t>
      </w:r>
    </w:p>
    <w:p>
      <w:r>
        <w:rPr>
          <w:b/>
        </w:rPr>
        <w:t>E. 6</w:t>
      </w:r>
    </w:p>
    <w:p>
      <w:r>
        <w:t>Sind die Voraussetzungen, unter denen die II. Beschwerdeabteilung im Rechtsmittelverfah- ren die Konkurseröffnung aufheben kann, im vorliegenden Fall erfüllt, erweist sich die Be- schwerde als begründet. Sie ist daher gutzuheissen und das Konkursdekret ist aufzuheben.</w:t>
      </w:r>
    </w:p>
    <w:p>
      <w:r>
        <w:rPr>
          <w:b/>
        </w:rPr>
        <w:t>E. 7</w:t>
      </w:r>
    </w:p>
    <w:p>
      <w:r>
        <w:t>Trotz dieses Ausgangs des Beschwerdeverfahrens hat die Beschwerdeführerin die Kosten des erst- und zweitinstanzlichen Verfahrens zu tragen. Wie erwähnt, erging das Konkurs- dekret damals zu Recht. Die Beschwerdeführerin hat die Voraussetzungen für dessen Auf- hebung erst im Nachhinein geschaffen. Sie hat damit das Beschwerdeverfahren verursacht, weshalb sie auch für diese Kosten einzustehen hat (Art. 107 Abs. 1 lit. f ZPO). Die Be- schwerdegegnerin hat sie hingegen bereits mangels eines entsprechenden Antrags nicht zu entschädigen. Urteilsspruch 1. In Gutheissung der Beschwerde wird Dispositiv-Ziffer 1 des Entscheids der Einzelrichterin am Kantonsgericht Zug vom 21. Februar 2023 aufgehoben und das Konkursbegehren der Beschwerdegegnerin wird zufolge Hinterlegung des offenen Schuldbetrages abgewiesen. 2. Die Gerichtskasse wird angewiesen, vom hinterlegten Betrag von CHF 1'947.65 einen Anteil von CHF 1'747.65 an die Beschwerdegegnerin auszuzahlen.</w:t>
      </w:r>
    </w:p>
    <w:p>
      <w:r>
        <w:t>Seite 6/6 3. Der Beschwerdeführerin wird für das Beschwerdeverfahren eine Spruchgebühr von CHF 750.00 auferlegt und mit dem von ihr geleisteten Kostenvorschuss von CHF 1'800.00 verrechnet. Der Restbetrag von CHF 1'050.00 sowie der zu viel hinterlegte Betrag von CHF 200.00 werden an das Konkursamt Zug überwiesen, das den sich nach Abzug seiner eigenen aufgelaufenen Kosten ergebenden Saldo der Beschwerdeführerin zurückzuerstatten hat. 4. Gegen diesen Entscheid ist die Beschwerde in Zivilsachen nach den Art. 72 ff. des Bundes- gerichtsgesetzes (BGG) zulässig; die Beschwerdegründe richten sich nach den Art. 95 ff. BGG. Eine allfällige Beschwerde ist innert 30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 5. Mitteilung an: - Parteien - Kantonsgericht Zug, Einzelrichterin (EK 2023 27) - Konkursamt Zug - Handelsregisteramt Zug (im Dispositiv) - Amt für Grundbuch und Geoinformation des Kantons Zug (im Dispositiv) - Betreibungsamt Zug (im Dispositiv) - Gerichtskasse (im Dispositiv) Obergericht des Kantons Zug II. Beschwerdeabteilung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