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2 vom 7. März 2023</w:t>
      </w:r>
    </w:p>
    <w:p>
      <w:r>
        <w:t>ZG Obergericht, 2023-03-07, DE</w:t>
      </w:r>
    </w:p>
    <w:p>
      <w:r>
        <w:rPr>
          <w:b/>
        </w:rPr>
        <w:t xml:space="preserve">Quelle: </w:t>
      </w:r>
      <w:r>
        <w:t>https://mcp.opencaselaw.ch/entscheid/zg_obergericht_BZ_2023_2</w:t>
      </w:r>
    </w:p>
    <w:p>
      <w:r>
        <w:t>FR: ZG_OBERGERICHT BZ 2023 2 du 7 mars 2023</w:t>
      </w:r>
    </w:p>
    <w:p>
      <w:r>
        <w:t>IT: ZG_OBERGERICHT BZ 2023 2 del 7 marzo 2023</w:t>
      </w:r>
    </w:p>
    <w:p>
      <w:pPr>
        <w:pStyle w:val="Heading2"/>
      </w:pPr>
      <w:r>
        <w:t>Regeste</w:t>
      </w:r>
    </w:p>
    <w:p>
      <w:r>
        <w:t>II. Beschwerdeabteilung</w:t>
      </w:r>
    </w:p>
    <w:p>
      <w:pPr>
        <w:pStyle w:val="Heading2"/>
      </w:pPr>
      <w:r>
        <w:t>Erwägungen</w:t>
      </w:r>
    </w:p>
    <w:p>
      <w:r>
        <w:rPr>
          <w:b/>
        </w:rPr>
        <w:t>E. 1</w:t>
      </w:r>
    </w:p>
    <w:p>
      <w:r>
        <w:t>Die Voraussetzungen zur Konkurseröffnung waren im Zeitpunkt des vorinstanzlichen Ent- scheids erfüllt. Es lagen damals keine Konkurshinderungsgründe vor, weder in formell- noch in materiellrechtlicher Hinsicht (Art. 172 ff. SchKG). Namentlich war in jenem Zeitpunkt die Schuld weder getilgt noch gestundet (Art. 172 Ziff. 3 SchKG). Die Vorinstanz war daher ver- pflichtet, dem Konkursbegehren ohne Weiteres stattzugeben und über das in der Schweiz gelegene Vermögen der Beschwerdeführerin den Konkurs zu eröffnen.</w:t>
      </w:r>
    </w:p>
    <w:p>
      <w:r>
        <w:rPr>
          <w:b/>
        </w:rPr>
        <w:t>E. 2</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Bei der 10-tägigen Rechtsmittelfrist von Art. 174 Abs. 1 SchKG handelt es sich um eine ge- setzliche Frist. Die Konkursaufhebungsgründe gemäss Art. 174 Abs. 2 Ziff. 1-3 SchKG sind daher nur zu berücksichtigen, wenn sie sich innert der Rechtsmittelfrist verwirklicht haben und urkundlich nachgewiesen werden. Ferner muss innert der Rechtsmittelfrist die Zahlungs-</w:t>
      </w:r>
    </w:p>
    <w:p>
      <w:r>
        <w:t>Seite 3/6 fähigkeit glaubhaft gemacht werden. Es ist nicht statthaft, die Frist zur Beibringung der gehörigen Unterlagen zu verlängern (vgl. BGE 139 III 491 E. 4; Urteil des Bundesgerichts 5A_1005/2020 vom 19. Januar 2021 E. 3.1.2).</w:t>
      </w:r>
    </w:p>
    <w:p>
      <w:r>
        <w:rPr>
          <w:b/>
        </w:rPr>
        <w:t>E. 3</w:t>
      </w:r>
    </w:p>
    <w:p>
      <w:r>
        <w:t>Gemäss dem eingereichten Empfangsschein der Post leistete die Beschwerdeführerin am 9. Januar 2023 eine Zahlung von CHF 2'968.50 an die Beschwerdegegnerin (act. 1/5 S 3 f.). Die Konkursforderung samt Zinsen und Kosten wurde damit innert der 10-tägigen Rechtsmit- telfrist getilgt. Der in Art. 174 Abs. 2 Ziff. 1 SchKG erwähnte Konkursaufhebungsgrund ist mithin gegeben. Im Folgenden bleibt zu prüfen, ob die Beschwerdeführerin ihre Zahlungs- fähigkeit glaubhaft gemacht hat.</w:t>
      </w:r>
    </w:p>
    <w:p>
      <w:r>
        <w:rPr>
          <w:b/>
        </w:rPr>
        <w:t>E. 4</w:t>
      </w:r>
    </w:p>
    <w:p>
      <w:r>
        <w:t>Glaubhaft gemacht ist eine Tatsache dann, wenn für ihr Vorhandensein gewisse Elemente sprechen, selbst wenn das Gericht noch mit der Möglichkeit rechnet, dass sie sich nicht ver- wirklicht haben könnte. Im Hinblick auf die Aufhebung der Konkurseröffnung bedeutet dies, dass die Zahlungsfähigkeit des Schuldners wahrscheinlicher sein muss als seine Zahlungs- unfähigkeit. In diesem Bereich dürfen keine zu strengen Anforderungen gestellt werden, ins- besondere wenn die wirtschaftliche Lebensfähigkeit des schuldnerischen Unternehmens nicht von vornherein ausgeschlossen werden kann. Es liegt am Schuldner, Beweismittel vor- zulegen, die geeignet sind, seine Zahlungsfähigkeit als glaubhaft erscheinen zu lassen. Der Schuldner muss namentlich nachweisen, dass gegen ihn kein Konkursbegehren in einer or- dentlichen Konkurs- oder in einer Wechselbetreibung hängig ist und dass keine weiteren vollstreckbaren Betreibungen vorliegen. Wichtigstes bzw. unerlässliches Dokument zum Glaubhaftmachen der Zahlungsfähigkeit ist der Auszug aus dem Betreibungsregister; vorzu- legen ist ein Betreibungsregisterauszug mindestens der letzten drei Jahre. Zahlungsfähigkeit bedeutet, dass ausreichend liquide Mittel zur Begleichung der fälligen Schulden vorhanden sind. Grundsätzlich als zahlungsunfähig erweist sich ein Schuldner, der beispielsweise Kon- 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Dabei sind auch Betreibungen, gegen die Rechtsvorschlag erhoben wurde, im Rahmen der Gesamtbe- trachtung der Zahlungsgewohnheiten zu berücksichtigen. Der Schuldner ist daher grundsätz- lich gehalten, zu jeder im Betreibungsregister nicht als erledigt aufgeführten Forderung Stel- lung zu nehmen und behauptete Zahlungsvereinbarungen und geleistete Raten zu belegen (Urteile des Bundesgerichts 5A_353/2022 vom 31. August 2022 E. 2.3 und 2.5.2 und 5A_33/2021 vom 28. September 2021 E. 2.2 und 3.3, je mit Hinweisen). Bei der Beurteilung der Zahlungsfähigkeit kommt dem Richter ein weiter Ermessensspielraum zu (vgl. Giroud/ Theus Simoni, a.a.O., Art. 174 SchKG N 26).</w:t>
      </w:r>
    </w:p>
    <w:p>
      <w:r>
        <w:rPr>
          <w:b/>
        </w:rPr>
        <w:t>E. 5</w:t>
      </w:r>
    </w:p>
    <w:p>
      <w:r>
        <w:t>Zur Zahlungsfähigkeit der Beschwerdeführerin ist Folgendes festzuhalten:</w:t>
      </w:r>
    </w:p>
    <w:p>
      <w:r>
        <w:rPr>
          <w:b/>
        </w:rPr>
        <w:t>E. 5.1</w:t>
      </w:r>
    </w:p>
    <w:p>
      <w:r>
        <w:t>Gemäss dem eingereichten Betreibungsregisterauszug des Betreibungsamtes Risch vom</w:t>
      </w:r>
    </w:p>
    <w:p>
      <w:r>
        <w:rPr>
          <w:b/>
        </w:rPr>
        <w:t>E. 5.2</w:t>
      </w:r>
    </w:p>
    <w:p>
      <w:r>
        <w:t>Gemäss der eingereichten Bilanz per 31. Dezember 2022 beläuft sich das Umlaufvermögen der Beschwerdeführerin auf CHF 64'772.86 und das Anlagevermögen auf CHF 17'894.10. Den Aktiven von CHF 82'666.96 steht das Fremdkapital von CHF 83'691.35 gegenüber. Das Eigenkapital ist aufgrund des Verlustvortrags von CHF 22'877.47 negativ (- CHF 1'024.39). Die Beschwerdeführerin ist damit überschuldet. Dabei gilt es aber zu berücksichtigen, dass der weit überwiegende Teil der Kreditoren – nämlich CHF 68'265.10 – auf eine Darlehens- schuld gegenüber dem Geschäftsführer und Gesellschafter der Beschwerdeführerin entfällt. Die übrigen Kreditoren von CHF 15'426.25 sind von den liquiden Mittel von CHF 2'036.91, (die sich gemäss dem eingereichten Kontoauszug der Zuger Kantonalbank vom 4. Januar 2023 allerdings in der Zwischenzeit auf CHF 1'772.51 verringert haben) und den Debitoren von CHF 62'296.90 gedeckt. Auch wenn sich der effektive Wert des Debitorenbestands nicht ohne Weiteres beurteilen lässt, kann bei äusserst grosszügiger Betrachtung angenommen werden, dass es der Beschwerdeführerin gelingen wird, ihren künftigen Verpflichtungen nachzukommen. Die Zahlungsfähigkeit ist damit insgesamt glaubhaft gemacht. Die Be- schwerdeführerin muss sich allerdings im Klaren sein, dass im Falle einer erneuten Konkur- seröffnung deutlich höhere Anforderungen an die Glaubhaftmachung der Zahlungsfähigkeit gestellt würden.</w:t>
      </w:r>
    </w:p>
    <w:p>
      <w:r>
        <w:t>Seite 5/6 6. Sind die Voraussetzungen, unter denen die II. Beschwerdeabteilung im Rechtsmittelverfah- ren die Konkurseröffnung aufheben kann, im vorliegenden Fall erfüllt, erweist sich die Be- schwerde als begründet. Sie ist daher gutzuheissen und das Konkursdekret ist aufzuheben. 7. Trotz dieses Ausgangs des Beschwerdeverfahrens hat die Beschwerdeführerin die Kosten des erst- und zweitinstanzlichen Verfahrens zu tragen. Wie erwähnt, erging das Konkurs- dekret damals zu Recht. Die Beschwerdeführerin hat die Voraussetzungen für dessen Auf- hebung erst im Nachhinein geschaffen. Sie hat damit das Beschwerdeverfahren verursacht, weshalb sie auch für diese Kosten einzustehen hat (Art. 107 Abs. 1 lit. f ZPO). Die Be- schwerdegegnerin hat sie hingegen bereits mangels eines entsprechenden Antrags nicht zu entschädigen. Urteilsspruch</w:t>
      </w:r>
    </w:p>
    <w:p>
      <w:r>
        <w:rPr>
          <w:b/>
        </w:rPr>
        <w:t>E. 10</w:t>
      </w:r>
    </w:p>
    <w:p>
      <w:r>
        <w:t>Januar 2023 wurden gegen die Beschwerdeführerin seit Juni 2018 32 Betreibungen über insgesamt CHF 79'277.10 eingeleitet. Davon sind nebst der Betreibung über CHF 2'598.30, die zur vorinstanzlichen Konkurseröffnung geführt hat, 18 Betreibungen im Umfang von total</w:t>
      </w:r>
    </w:p>
    <w:p>
      <w:r>
        <w:t>Seite 4/6 CHF 37'148.85 durch Zahlung erledigt. Die Beschwerdeführerin macht sodann geltend, die Betreibungen Nrn. G.________, H.________, I.________, J.________, K.________, L.________ und M.________ über insgesamt CHF 19'454.85 durch Zahlung erledigt zu ha- ben. Belege dafür reichte sie jedoch nicht ein. Angesichts dessen, dass die Betreibungen Nrn. G.________, H.________, I.________ und L.________ über insgesamt CHF 14'811.20, die zwischen Mai 2019 und März 2021 eingeleitet worden waren, nach der Zustellung der Zahlungsbefehle nicht mehr fortgesetzt wurden, kann bei wohlwollender Betrachtung ange- nommen werden, dass die Darstellung der Beschwerdeführerin zutrifft. Dieselbe Annahme rechtfertigt sich auch bei den Mitte Dezember 2019 und Ende Juni 2020 eingeleiteten Betrei- bungen Nrn. J.________ und K.________ über gesamthaft CHF 4'404.75, die jeweils nach der Erhebung des Rechtsvorschlags nicht fortgesetzt wurden. Bestritten ist sodann die Be- treibung Nr. E.________ über CHF 10'878.00. Allerdings macht die Beschwerdeführerin diesbezüglich lediglich geltend, dass die Abrechnung der Betreibungsgläubigerin, der N.________, fehlerhaft und noch nicht korrigiert worden sei, ohne darzulegen, in welchem Umfang die Betreibung zu Recht angehoben wurde. Bei den Betreibungen Nrn. O.________, P.________, Q.________, R.________ und S.________ über total CHF 9'197.05, die teil- weise bis zur Konkursandrohung oder Pfändung fortgeschritten sind, bestehen gemäss der – unbelegten – Darstellung der Beschwerdeführerin Abzahlungsverträge. Infolge fehlender An- gaben ist unklar, ob und, falls ja, inwieweit sich die Forderungen dieser Betreibungen durch Teilzahlungen reduziert haben. Angesichts dessen ist davon auszugehen, dass nebst der im November 2022 eingeleiteten Betreibung Nr. F.________ über CHF 238.90, deren Tilgung nicht belegt wurde, die Betreibung Nr. E.________ der N.________ über rund CHF 10'000.00 sowie diejenigen Betreibungen über rund CHF 9'000.00, bei denen nach der Dar- stellung der Beschwerdeführerin Abzahlungsverträge bestehen, ein Grossteil der Forderun- gen noch offen ist. Es muss daher angenommen werden, dass unerledigte Betreibungen im Umfang von mehr als CHF 10'000.00 vorhanden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