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107 vom 7. Dezember 2023</w:t>
      </w:r>
    </w:p>
    <w:p>
      <w:r>
        <w:t>ZG Obergericht, 2023-12-07, DE</w:t>
      </w:r>
    </w:p>
    <w:p>
      <w:r>
        <w:rPr>
          <w:b/>
        </w:rPr>
        <w:t xml:space="preserve">Quelle: </w:t>
      </w:r>
      <w:r>
        <w:t>https://mcp.opencaselaw.ch/entscheid/zg_obergericht_BZ_2023_107</w:t>
      </w:r>
    </w:p>
    <w:p>
      <w:r>
        <w:t>FR: ZG_OBERGERICHT BZ 2023 107 du 7 décembre 2023</w:t>
      </w:r>
    </w:p>
    <w:p>
      <w:r>
        <w:t>IT: ZG_OBERGERICHT BZ 2023 107 del 7 dicembre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1.1</w:t>
      </w:r>
    </w:p>
    <w:p>
      <w:r>
        <w:t>Die Beschwerde wird abgewiesen.</w:t>
      </w:r>
    </w:p>
    <w:p>
      <w:r>
        <w:rPr>
          <w:b/>
        </w:rPr>
        <w:t>E. 1.2</w:t>
      </w:r>
    </w:p>
    <w:p>
      <w:r>
        <w:t>Das Datum der Konkurseröffnung wird neu festgesetzt auf den 7. Dezember 2023, 09:20 Uhr. 2. Der Beschwerdeführerin wird für das Beschwerdeverfahren eine Spruchgebühr von CHF 750.00 auferlegt und mit dem von ihr geleisteten Kostenvorschuss verrechnet. Der Restbetrag von CHF 1'050.00 sowie die bei der Gerichtskasse hinterlegten Beträge von insgesamt CHF 1'999.90 werden zuhanden der Konkursmasse an das Konkursamt Zug überwiesen. 3.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Parteien - Kantonsgericht Zug, Einzelrichter (EK 2023 338) - Konkursamt Zug - Handelsregisteramt Zug (im Dispositiv) - Amt für Grundbuch und Geoinformation des Kantons Zug (im Dispositiv) - Betreibungsamt Baar (im Dispositiv) - Gerichtskasse (im Dispositiv) Obergericht des Kantons Zug II. Beschwerdeabteilung St. Scherer J. Lötscher Abteilungspräsident Gerichtsschreiber versandt am:</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w:t>
      </w:r>
    </w:p>
    <w:p>
      <w:r>
        <w:t>Seite 3/5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hinterlegte am 26. Oktober 2023 und somit innert der 10-tägigen Rechtsmittelfrist bei der Gerichtskasse den Betrag von CHF 653.80 zugunsten der Be- schwerdegegnerin (act. 1 f). Gleichzeitig überwies sie der Beschwerdegegnerin den Betrag von CHF 1'428.45, wovon diese CHF 653.87 an die vorliegende Betreibung anrechnete. So- wohl der Konkursaufhebungsgrund gemäss Art. 174 Abs. 2 Ziff. 1 SchKG als auch derjenige gemäss Art. 174 Abs. 2 Ziff. 2 SchKG sind somit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Gemäss dem eingereichten Betreibungsregisterauszug des Betreibungsamtes Baar vom 23. Oktober 2023 (act. 1/e) wurden gegen die Beschwerdeführerin seit Juni 2019 16 Betrei- bungen über insgesamt CHF 25'250.66 eingeleitet. Davon waren zum Zeitpunkt der Konkur- seröffnung 10 Betreibungen im Gesamtumfang von CHF 8'855.08 bereits durch Zahlung er-</w:t>
      </w:r>
    </w:p>
    <w:p>
      <w:r>
        <w:t>Seite 4/5 ledigt. Die Beträge der Betreibungen Nrn. H.________ und I.________ im Umfang von CHF 1'018.00 und CHF 186.35 hat die Beschwerdeführerin zuzüglich Kosten ebenfalls bei der Gerichtskasse hinterlegt. Sodann verbleiben drei Betreibungen, bei denen im Betrei- bungsregisterauszug keine Erledigung vermerkt ist. Die Betreibung Nr. E.________ über CHF 408.61 wurde am 22. September 2020 von der Beschwerdegegnerin eingeleitet und offenbar nicht weiterverfolgt; der Hinweis der Beschwerdeführerin, dass die Betreibung durch Zahlung an die Gerichtskasse erledigt ist, erscheint plausibel. Auch die Betreibung Nr. F.________ der Beschwerdegegnerin vom Dezember 2021 über CHF 683.68 dürfte erle- digt sein, nachdem die Beschwerdegegnerin der Beschwerdeführerin am 1. Oktober 2023 mitteilte, das Beitragskonto für den Anschluss weise eine Schuld der Beschwerdeführerin von CHF 1'428.45 auf, und nachdem die Beschwerdeführerin diesen Betrag am 26. Oktober 2023 überwiesen hat (act. 1/j). Nicht beglichen ist jedoch die Forderung von J.________ über CHF 13'264.60 gemäss Be- treibung Nr. G.________. Diese Betreibung wurde 20. Mai 2021 eingeleitet und befand sich zuletzt im Stadium der Konkursandrohung; sie dürfte allerdings erloschen sein (vgl. Art. 166 Abs. 2 SchKG). Die Beschwerdeführerin hielt dazu fest, diese Forderung sei noch offen, vom Gläubiger aber "nicht weitergezogen worden". Dies ändert nichts daran, dass die Forderung bei den Verbindlichkeiten der Beschwerdeführerin zu berücksichtigen ist.</w:t>
      </w:r>
    </w:p>
    <w:p>
      <w:r>
        <w:rPr>
          <w:b/>
        </w:rPr>
        <w:t>E. 5.2</w:t>
      </w:r>
    </w:p>
    <w:p>
      <w:r>
        <w:t>Die Beschwerdeführerin reichte eine Bilanz ins Recht, die zwar offenbar am 26. Oktober 2023 ausgedruckt wurde, bei der es sich aber wohl nicht um eine aktuelle Zwischenbilanz handelt. Die Beschwerdeführerin hält dazu fest, sie habe die Unterlagen für die Buchführung 2023 nicht so schnell aufbereiten können, als dass eine ordnungsgemässe Buchführung 2023 noch möglich gewesen wäre. Somit dürfte sich die Bilanz auf den Stichtag 31. Dezem- ber 2022 beziehen. Die Verlässlichkeit der Bilanz ist aber schon deshalb in Zweifel zu zie- hen, weil die – von der Beschwerdeführerin anerkannte – Forderung von J.________ unter den Verbindlichkeiten nicht aufscheint. Damit bleibt aber die aktuelle finanzielle Situation der Beschwerdeführerin unklar.</w:t>
      </w:r>
    </w:p>
    <w:p>
      <w:r>
        <w:rPr>
          <w:b/>
        </w:rPr>
        <w:t>E. 5.3</w:t>
      </w:r>
    </w:p>
    <w:p>
      <w:r>
        <w:t>Zusammenfassend ergibt sich, dass die Beschwerdeführerin offenbar keine offenen Betrei- bungen mehr hat, jedoch mindestens eine Verpflichtung in der Höhe von CHF 13'264.60 aufweist, von der nicht klar ist, wie sie getilgt werden soll. Die Beschwerdeführerin hat nicht aufgezeigt, dass sie über genügend Liquidität verfügt, um diese Schuld zu tilgen. Ob die in der eingereichten Bilanz ausgewiesenen flüssigen Mittel von nahezu CHF 7'000.00 noch vorhanden sind, ist nicht ersichtlich. Zwar wies die Beschwerdeführerin zum – unbekannten – Bilanzstichtag noch ein Guthaben gegenüber ihrem Geschäftsführer und – soweit ersichtlich – wirtschaftlich Berechtigten K.________ in Höhe von CHF 182'128.78 auf. Ob dieses Gut- haben werthaltig ist, hat die Beschwerdeführerin nicht aufgezeigt und kann daher nicht beur- teilt werden. Somit bestehen erhebliche Zweifel an ihrer wirtschaftlichen Überlebensfähigkeit.</w:t>
      </w:r>
    </w:p>
    <w:p>
      <w:r>
        <w:rPr>
          <w:b/>
        </w:rPr>
        <w:t>E. 6</w:t>
      </w:r>
    </w:p>
    <w:p>
      <w:r>
        <w:t>Hat die Beschwerdeführerin ihre Zahlungsfähigkeit nicht glaubhaft gemacht, erweist sich ihre Beschwerde als unbegründet und ist abzuweisen. Da der Beschwerde die aufschiebende Wirkung zuerkannt worden ist, muss das Datum der Konkurseröffnung neu auf den Zeitpunkt des vorliegenden Beschwerdeentscheids festgesetzt werden (BGE 118 III 39, Urteil des Bun- desgerichts 5A_818/2019 vom 31. Januar 2020 E. 5).</w:t>
      </w:r>
    </w:p>
    <w:p>
      <w:r>
        <w:t>Seite 5/5</w:t>
      </w:r>
    </w:p>
    <w:p>
      <w:r>
        <w:rPr>
          <w:b/>
        </w:rPr>
        <w:t>E. 7</w:t>
      </w:r>
    </w:p>
    <w:p>
      <w:r>
        <w:t>Bei diesem Ausgang sind die Kosten des Beschwerdeverfahrens der Beschwerdeführerin aufzuerlegen und mit dem von ihr geleisteten Kostenvorschuss zu verrechnen. Der Rest- betrag sowie die hinterlegte Summe von insgesamt CHF 1'999.90 sind zuhanden der Kon- kursmasse an das Konkursamt zu überweisen (Art. 106 Abs. 1 und Art. 111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