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93 vom 17. Oktober 2022</w:t>
      </w:r>
    </w:p>
    <w:p>
      <w:r>
        <w:t>ZG Obergericht, 2022-10-17, DE</w:t>
      </w:r>
    </w:p>
    <w:p>
      <w:r>
        <w:rPr>
          <w:b/>
        </w:rPr>
        <w:t xml:space="preserve">Quelle: </w:t>
      </w:r>
      <w:r>
        <w:t>https://mcp.opencaselaw.ch/entscheid/zg_obergericht_BZ_2022_93</w:t>
      </w:r>
    </w:p>
    <w:p>
      <w:r>
        <w:t>FR: ZG_OBERGERICHT BZ 2022 93 du 17 octobre 2022</w:t>
      </w:r>
    </w:p>
    <w:p>
      <w:r>
        <w:t>IT: ZG_OBERGERICHT BZ 2022 93 del 17 ottobre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in der Schweiz gelegene Vermögen des Beschwerdeführers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gesetzliche Frist. Die Konkursaufhebungsgründe gemäss Art. 174 Abs. 2 Ziff. 1-3 SchKG sind daher nur zu berücksichtigen, wenn sie sich innert der Rechtsmittelfrist verwirklicht</w:t>
      </w:r>
    </w:p>
    <w:p>
      <w:r>
        <w:t>Seite 3/6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Der Beschwerdeführer bezahlte am 9. September 2022 CHF 9'355.30 an die Beschwerdegegnerin (act. 1/8) und beglich damit die Konkursforderung inkl. Zinsen und Kosten innert der 10-tägigen Rechtsmittelfrist. Der in Art. 174 Abs. 2 Ziff. 1 SchKG erwähnte Konkursaufhebungsgrund ist mithin gegeben. Im Folgenden bleibt zu prüfen, ob der Beschwerdeführer seine Zahlungsfähigkeit glaubhaft gemacht hat.</w:t>
      </w:r>
    </w:p>
    <w:p>
      <w:r>
        <w:rPr>
          <w:b/>
        </w:rPr>
        <w:t>E. 4</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4.1</w:t>
      </w:r>
    </w:p>
    <w:p>
      <w:r>
        <w:t>Gemäss dem Auszug aus dem Betreibungsregister des Betreibungsamtes Zug vom 8. September 2022 (act. 1/5) wurden gegen den Beschwerdeführer seit September 2017 insgesamt 98 Betreibungen über total rund CHF 594'000.00 eingeleitet. Gemäss einer vom Betreibungsamt am 8. September 2022 ausgestellten Liste sind aktuell – nach Abzug der mittlerweile beglichenen Konkursforderung der Beschwerdegegnerin – noch 30 Betreibungen über insgesamt rund CHF 322'000.00 offen (act. 1/15). Auf dieser Liste sind allerdings die im Betreibungsregisterauszug vom 8. September 2022 aufgeführten Betreibungen Nrn. E.________, F.________, G.________, H.________, I.________, J.________, K.________, L.________, M.________ und N.________ über total rund CHF 15'300.00 nicht berücksichtigt. Diese Betreibungen wurden zwischen Juni und August 2022 eingeleitet und sind laut dem Auszug nach wie vor unerledigt. Der Beschwerdeführer nimmt dazu in der</w:t>
      </w:r>
    </w:p>
    <w:p>
      <w:r>
        <w:t>Seite 4/6 Beschwerde keine Stellung und weist insbesondere nicht nach, dass diese Betreibungsforderungen mittlerweile beglichen wurden. Angesichts dessen ist von unerledigten Betreibungen im Umfang von rund CHF 337'300.00 auszugehen. 5.2 Der Beschwerdeführer macht geltend, er habe zum Zeitpunkt der Konkurseröffnung über keine liquiden Vermögenswerte verfügt. Er stehe jedoch kurz davor, die ihm im Scheidungsurteil übertragene Liegenschaft zu verkaufen. Die entsprechenden Verkaufsbemühungen seien bereits sehr weit fortgeschritten. So habe am 24. August 2022 eine Reservationsvereinbarung abgeschlossen werden können (act. 1/11). Gemäss dem bei der zuständigen Notarin in Auftrag gegebenen Entwurf des Kaufvertrags (act. 1/14) seien zur Begleichung des Kaufpreises von CHF 3,35 Mio. folgende Zahlungen vorgesehen: Reservationszahlung vor Beurkundung: CHF 200'000.00; Anzahlung bei der Beurkundung (zwei Werktage nach Eintrag im Tagebuch): CHF 350'000.00 – diese Zahlung werde zur Begleichung der Forderungen beim Betreibungsamt verwendet; CHF 1'441'993.00 zur Ablösung der Inhaberschuldbriefe im 1. und 2. Rang (zwei Werktage nach Eintrag im Tagebuch); CHF 400'000.00 zur Ablösung des Inhaberschuldbriefs im 3. Rang (zwei Werktage nach Eintrag im Tagebuch); Zahlungen von CHF 30'000.00 und CHF 778'007.00 an den Beschwerdeführer (zwei Werktage nach Eintrag im Tagebuch); Zahlung des Restkaufpreises von CHF 150'000.00 an den Beschwerdeführer am 2. August 2023. Zudem sei vorgesehen, dass das Geschäft unmittelbar nach der Beurkundung im Grundbuch angemeldet werden solle. Bei einer nahtlosen Fortführung der Verkaufsbemühungen könne davon ausgegangen werden, dass die Beurkundung des Kaufvertrags Ende Oktober 2022 durchgeführt werden könnte und sämtliche im Betreibungsregister genannten Gläubiger spätestens Mitte November 2022 befriedigt wären. Zudem würden dem Beschwerdeführer nach vollzogenem Verkauf der Liegenschaft ca. CHF 0,85 Mio. verbleiben. Damit wäre der Beschwerdeführer ohne Weiteres im Stande, seinen (zusätzlich) laufenden und künftigen Verpflichtungen nachzukommen. 5.3 Aufgrund dieser Schilderung ist glaubhaft, dass der Beschwerdeführer in absehbarer Zeit über rund CHF 1'158'000.00 verfügen wird. Nach der Tilgung der offenen Betreibungsforderungen von rund CHF 338'000.00 verbleiben dem Beschwerdeführer rund CHF 800'000.00. Die Schilderung des Beschwerdeführers, dass er damit seinen laufenden und künftigen Verpflichtungen wird nachkommen können, ist vor diesem Hintergrund plausibel. Indes kann nicht übersehen werden, dass der Beschwerdeführer zu diesen Verpflichtungen keine Angaben macht und insbesondere keine Auskunft über seine zukünftigen Lebenshaltungskosten sowie seine Einkommenssituation erteilte. Die vollständige Darlegung der finanziellen Verhältnisse wäre an sich erforderlich, um die Zahlungsfähigkeit glaubhaft zu machen. Vorliegend kann einzig deshalb darauf verzichtet werden, weil die dem Beschwerdeführer nach Tilgung der offenen Betreibung zur Verfügung stehende Summe von rund CHF 800'000.00 derart beträchtlich ist.</w:t>
      </w:r>
    </w:p>
    <w:p>
      <w:r>
        <w:rPr>
          <w:b/>
        </w:rPr>
        <w:t>E. 6</w:t>
      </w:r>
    </w:p>
    <w:p>
      <w:r>
        <w:t>Sind die Voraussetzungen, unter denen die II. Beschwerdeabteilung im Rechtsmittelverfahren die Konkurseröffnung aufheben kann, im vorliegenden Fall erfüllt, erweist sich die Beschwerde als begründet. Sie ist daher gutzuheissen und das Konkursdekret ist aufzuheben.</w:t>
      </w:r>
    </w:p>
    <w:p>
      <w:r>
        <w:t>Seite 5/6</w:t>
      </w:r>
    </w:p>
    <w:p>
      <w:r>
        <w:rPr>
          <w:b/>
        </w:rPr>
        <w:t>E. 7</w:t>
      </w:r>
    </w:p>
    <w:p>
      <w:r>
        <w:t>Trotz dieses Ausgangs des Beschwerdeverfahrens hat der Beschwerdeführer die Kosten des erst- und zweitinstanzlichen Verfahrens zu tragen. Wie erwähnt, erging das Konkursdekret damals zu Recht. Der Beschwerdeführer hat die Voraussetzungen für dessen Aufhebung erst im Nachhinein geschaffen. Er hat damit das Beschwerdeverfahren verursacht, weshalb er auch für diese Kosten einzustehen hat (Art. 107 Abs. 1 lit. f ZPO). Die nicht anwaltlich vertretene Beschwerdegegnerin hat er hingegen mangels erheblicher prozessualer Umtriebe nicht zu entschädigen (Art. 95 Abs. 3 lit. c ZPO; vgl. auch Urteil des Obergerichts des Kantons Zug vom 17. Dezember 2013, in: GVP 2013 S. 202 f.).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