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92 vom 27. Oktober 2022</w:t>
      </w:r>
    </w:p>
    <w:p>
      <w:r>
        <w:t>ZG Obergericht, 2022-10-27, DE</w:t>
      </w:r>
    </w:p>
    <w:p>
      <w:r>
        <w:rPr>
          <w:b/>
        </w:rPr>
        <w:t xml:space="preserve">Quelle: </w:t>
      </w:r>
      <w:r>
        <w:t>https://mcp.opencaselaw.ch/entscheid/zg_obergericht_BZ_2022_92</w:t>
      </w:r>
    </w:p>
    <w:p>
      <w:r>
        <w:t>FR: ZG_OBERGERICHT BZ 2022 92 du 27 octobre 2022</w:t>
      </w:r>
    </w:p>
    <w:p>
      <w:r>
        <w:t>IT: ZG_OBERGERICHT BZ 2022 92 del 27 ottobre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Vermögen der Beschwerdeführerin den Konkurs zu eröffnen. Seite 3/6</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gesetzliche Frist. Die Konkursaufhebungsgründe gemäss Art. 174 Abs. 2 Ziff. 1-3 SchKG sind daher nur zu berücksichtigen, wenn sie sich innert der Rechtsmittelfrist verwirklicht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Die Beschwerdegegnerin verzichtete mit Schreiben vom 7. September 2022, mithin innerhalb der laufenden Beschwerdefrist, auf die Durchführung des Konkursverfahrens (vgl. act. 1/2 und act. 2). Der in Art. 174 Abs. 2 Ziff. 3 SchKG erwähnte Konkursaufhebungsgrund ist mithin gegeben. Im Folgenden bleibt zu prüfen, ob die Beschwerdeführerin ihre Zahlungsfähigkeit glaubhaft gemacht hat.</w:t>
      </w:r>
    </w:p>
    <w:p>
      <w:r>
        <w:rPr>
          <w:b/>
        </w:rPr>
        <w:t>E. 4</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4.1</w:t>
      </w:r>
    </w:p>
    <w:p>
      <w:r>
        <w:t>Gemäss dem von der Beschwerdeführerin eingereichten Auszug aus dem Betreibungs- register des Betreibungsamtes Zug vom 6. September 2022 sind gegen sie nebst der Seite 4/6 Betreibung, die zur Konkurseröffnung geführt hat, seit November 2020 insgesamt fünf Betreibungen über total CHF 22'387.85 anhängig gemacht worden (vgl. act. 1/4). Davon sind drei Betreibungen über CHF 5'697.85 durch Bezahlung an das Betreibungsamt erledigt bzw. erloschen. Bei einer Betreibung über CHF 16'200.00 wurde der Zahlungsbefehl zugestellt und eine weitere Betreibung über CHF 490.00 ist durch Rechtsvorschlag gehemmt. Letztere stammt allerdings aus dem Jahre 2020 und wurde offenbar nicht weiterverfolgt. Offen sind gesamthaft zwei Betreibungen über total CHF 16'690.00. Die am 20. September 2022, mithin nach Ablauf der Beschwerdefrist, eingereichten Belege über Zahlungen an die Beschwerdegegnerin und weitere Gläubiger (vgl. act. 6/1-3) sind verspätet und können nicht mehr berücksichtigt werden.</w:t>
      </w:r>
    </w:p>
    <w:p>
      <w:r>
        <w:rPr>
          <w:b/>
        </w:rPr>
        <w:t>E. 4.2</w:t>
      </w:r>
    </w:p>
    <w:p>
      <w:r>
        <w:t>Die Beschwerdeführerin verfügt bei der D.________ AG über ein Bankkonto mit einem positiven Saldo von CHF 104'739.49 per 6. September 2022 (vgl. act. 1/6). Zudem liegt eine (undatierte) Liste der Kreditoren und Debitoren vor. Demgemäss belaufen sich die Kreditoren auf CHF 59'224.28. Ihnen stehen Debitoren in der Höhe von CHF 112'772.11 gegenüber (vgl. act. 1/5). Folglich übersteigen die offenen Forderungen gegenüber Dritten die offenen Forderungen von Gläubigern. Weiter führte die Beschwerdeführerin in der Beschwerdeschrift aus, sie werde in Kürze eine Versicherungsleistung von rund CHF 15'000.00 erhalten (vgl. act. 1 Rz 11). Sie belegte dies mit einem Schreiben der E.________ vom 1. September 2022, wonach der Beschwerdeführerin aus einem Schadensereignis vom 27. August 2022 eine Entschädigung (exklusiv MWST) von CHF 15'736.00 abzüglich eines Selbstbehalts von CHF 1'000.00 zusteht (vgl. act. 1/8). Diese Forderung ist allerdings schon in der Debitorenliste aufgeführt (vgl. act. 1/5). Schliesslich weist die Beschwerdeführerin darauf hin, dass diverse Fahrzeuge in ihrem Eigentum stünden, welche für den täglichen Betrieb benötigt würden, jedoch ein werthaltiges Aktivum der Gesellschaft darstellten (vgl. act. 1 Rz 11). Dazu reichte sie eine Fahrzeugbewertung der F.________ GmbH vom 6. September 2022 ein, wonach für die sieben Fahrzeuge der Beschwerdeführerin mit einem Ankaufswert von insgesamt CHF 85'500.00 zu rechnen sei (vgl. act. 1/7).</w:t>
      </w:r>
    </w:p>
    <w:p>
      <w:r>
        <w:rPr>
          <w:b/>
        </w:rPr>
        <w:t>E. 4.3</w:t>
      </w:r>
    </w:p>
    <w:p>
      <w:r>
        <w:t>Insgesamt erscheint glaubhaft, dass die Beschwerdeführerin ein funktionierendes Unternehmen ist und die ausgebliebenen Zahlungen auf die gesundheitlichen Probleme des Geschäftsführers und einen "unzuverlässigen" externen Buchhalter zurückzuführen sind. Zwischenzeitlich übernahm die Zeichnungsberechtigte G.________ diverse Aufgaben und es konnte ein neuer Buchhalter gefunden werden (vgl. act. 1 Rz 4 und 10, act. 1/4). Aus den Akten ergibt sich, dass die Beschwerdeführerin die offenen Forderungen gemäss Betreibungsregisterauszug von total CHF 16'690.00 bzw. die offenen Forderungen gemäss Kreditorenliste von insgesamt CHF 59'224.28 mit ihren liquiden Mitteln decken kann. Entsprechend rechtfertigt sich die Annahme, dass sie ihren laufenden Verpflichtungen nachkommen kann. Ihre Zahlungsfähigkeit ist daher glaubhaft gemacht.</w:t>
      </w:r>
    </w:p>
    <w:p>
      <w:r>
        <w:rPr>
          <w:b/>
        </w:rPr>
        <w:t>E. 5</w:t>
      </w:r>
    </w:p>
    <w:p>
      <w:r>
        <w:t>Sind die Voraussetzungen, unter denen die II. Beschwerdeabteilung im Rechtsmittelverfahren die Konkurseröffnung aufheben kann, im vorliegenden Fall erfüllt, erweist sich die Beschwerde als begründet. Sie ist daher gutzuheissen und das Konkursdekret ist aufzuheben.</w:t>
      </w:r>
    </w:p>
    <w:p>
      <w:r>
        <w:rPr>
          <w:b/>
        </w:rPr>
        <w:t>E. 6</w:t>
      </w:r>
    </w:p>
    <w:p>
      <w:r>
        <w:t>Trotz dieses Ausgangs des Beschwerdeverfahrens hat die Beschwerdeführerin die Kosten des erst- und zweitinstanzlichen Verfahrens zu tragen. Wie erwähnt, erging das Konkurs- Seite 5/6 dekret damals zu Recht. Die Beschwerdeführerin hat die Voraussetzungen für dessen Aufhebung erst im Nachhinein geschaffen. Sie hat damit das Beschwerdeverfahren verursacht, weshalb sie auch für diese Kosten einzustehen hat (Art. 107 Abs. 1 lit. f ZPO). Die Beschwerdegegnerin hat sie hingegen bereits mangels eines entsprechenden Antrags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