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131 vom 21. März 2023</w:t>
      </w:r>
    </w:p>
    <w:p>
      <w:r>
        <w:t>ZG Obergericht, 2023-03-21, DE</w:t>
      </w:r>
    </w:p>
    <w:p>
      <w:r>
        <w:rPr>
          <w:b/>
        </w:rPr>
        <w:t xml:space="preserve">Quelle: </w:t>
      </w:r>
      <w:r>
        <w:t>https://mcp.opencaselaw.ch/entscheid/zg_obergericht_BZ_2022_131</w:t>
      </w:r>
    </w:p>
    <w:p>
      <w:r>
        <w:t>FR: ZG_OBERGERICHT BZ 2022 131 du 21 mars 2023</w:t>
      </w:r>
    </w:p>
    <w:p>
      <w:r>
        <w:t>IT: ZG_OBERGERICHT BZ 2022 131 del 21 marzo 2023</w:t>
      </w:r>
    </w:p>
    <w:p>
      <w:pPr>
        <w:pStyle w:val="Heading2"/>
      </w:pPr>
      <w:r>
        <w:t>Regeste</w:t>
      </w:r>
    </w:p>
    <w:p>
      <w:r>
        <w:t>II. Beschwerdeabteilung</w:t>
      </w:r>
    </w:p>
    <w:p>
      <w:pPr>
        <w:pStyle w:val="Heading2"/>
      </w:pPr>
      <w:r>
        <w:t>Erwägungen</w:t>
      </w:r>
    </w:p>
    <w:p>
      <w:r>
        <w:rPr>
          <w:b/>
        </w:rPr>
        <w:t>E. 1</w:t>
      </w:r>
    </w:p>
    <w:p>
      <w:r>
        <w:t>Die Beschwerdeführer rügen, die Vorinstanz hätte von L.________ eine Stellungnahme zum Ausstandsgesuch einholen müssen. Die Vernehmlassung der Beschwerdegegnerin vom 14. November 2022 habe die Stellungnahme von L.________ nicht ersetzt. So habe die Be- schwerdegegnerin zum einen offensichtlich keine Einsicht in die von L.________ erwähnten Geschäftsbeziehungen zwischen ausländischen M.________-Gesellschaften und der Q.________-GmbH. Zum anderen sei die Beschwerdegegnerin nicht zur Wahrheit oder Vollständigkeit verpflichtet. Daher werde vorliegend nur L.________ substanziiert und auch wahrheitsgemäss darlegen können, welche Geschäftsbeziehungen zwischen welchen aus- Seite 4/6 ländischen M.________-Gesellschaften und der Q.________-GmbH bestünden. Mit anderen Worten hätte nur mit der Einholung einer Stellungnahme von L.________ der von der Vor- instanz zu beurteilende Sachverhalt geklärt werden können. Zudem sei L.________ hinsicht- lich seiner Unabhängigkeit und Unbefangenheit schlicht nicht über jeden Zweifel erhaben. Zum einen sei es seine Nähe zu der K.________ AG, die im November 2019 einen Bericht erstellt habe, der angeblich ein zentrales Beweismittel im Verfahren darstellen solle. Zum anderen habe L.________ selbst vorgebracht, dass ausländische M.________- Gesellschaften in Kundenbeziehungen zu der Q.________-GmbH stünden.</w:t>
      </w:r>
    </w:p>
    <w:p>
      <w:r>
        <w:rPr>
          <w:b/>
        </w:rPr>
        <w:t>E. 2</w:t>
      </w:r>
    </w:p>
    <w:p>
      <w:r>
        <w:t>Nach Art. 183 Abs. 2 ZPO gelten für eine sachverständige Person die gleichen Ausstands- gründe wie für die Gerichtspersonen. Verwiesen wird damit aber nicht nur auf Art. 47 ZPO, der die Ausstandsgründe für Gerichtspersonen regelt, sondern auch auf die entsprechenden Verfahrensbestimmungen, d.h. auf Art. 48-51 ZPO (vgl. Müller, in: Brunner/Gasser/ Schwander [Hrsg.], Schweizerische Zivilprozessordnung [ZPO], 2. A. 2016, Art. 183 ZPO N 17; Sutter-Somm/Seiler, Handkommentar zur Schweizerischen Zivilprozessordnung, 2021, Art. 183 ZPO N 9; Weibel, in: Sutter-Somm/Hasenböhler/Leuenberger [Hrsg.], Kommentar zur Schweizerischen Zivilprozessordnung, 3. A. 2016, Art. 183 ZPO N 20). Art. 50 Abs. 2 ZPO, der den Parteien das Beschwerderecht gegen verfahrensleitende Entscheide über den Ausstand einer Gerichtsperson einräumt, ohne dass ein nicht leicht wiedergutzumachender Nachteil im Sinne von Art. 319 lit. b Ziff. 2 ZPO droht, gilt daher auch für Entscheide über den Ausstand einer sachverständigen Person. Die vorliegende Beschwerde, welche die übrigen Eintretensvoraussetzungen erfüllt, erweist sich damit als zulässig (vgl. Urteil des Bundesge- richts 4A_155/2021 vom 30. September 2021 E. 4.5).</w:t>
      </w:r>
    </w:p>
    <w:p>
      <w:r>
        <w:rPr>
          <w:b/>
        </w:rPr>
        <w:t>E. 3</w:t>
      </w:r>
    </w:p>
    <w:p>
      <w:r>
        <w:t>Nach dem auch im Ausstandsverfahren gegen eine sachverständige Person geltenden Art. 49 ZPO (Urteil des Bundesgerichts 4A_155/2021 vom 30. September 2021 E. 5.4) nimmt die betreffende Person zu einem rechtzeitig eingereichten Ausstandsgesuch Stellung (Abs. 2). Diese Stellungnahme dient einerseits der Abklärung des Sachverhalts, andererseits erhält die sachverständige Person auf diese Weise die Möglichkeit, das Vorliegen eines Ausstandsgrunds zu akzeptieren oder zu bestreiten. Die abgelehnte sachverständige Person hat zur Gesuchsbegründung in substanziierter Weise entweder in schriftlicher oder mündli- cher Form Stellung zu nehmen. Die Stellungnahme bildet einen wesentlichen Akt im Ableh- nungsverfahren, weshalb die gesuchstellende Partei nach Art. 29 Abs. 2 BV Anspruch auf Kenntnisnahme und Replik hat. Vom Einholen einer Stellungnahme kann abgesehen werden, wenn das urteilende Gericht das Ausstandsbegehren als rechtsmissbräuchlich oder offen- sichtlich unbegründet einstuft (vgl. Urteil des Bundesgerichts 5A_461/2016 vom 3. November 2016 E. 5.1 m. H., in welchem diese Anforderungen mit Bezug auf eine Gerichtsperson auf- gestellt werden; vgl. ferner Urteil des Bundesgerichts 4A_155/2021 vom 30. September 2021 E. 5.4).</w:t>
      </w:r>
    </w:p>
    <w:p>
      <w:r>
        <w:rPr>
          <w:b/>
        </w:rPr>
        <w:t>E. 4</w:t>
      </w:r>
    </w:p>
    <w:p>
      <w:r>
        <w:t>Das Ausstandsgesuch der Beschwerdeführer erweist sich weder als rechtsmissbräuchlich noch als offensichtlich unbegründet. So wird der bei der M.________ AG, N.________, an- gestellte L.________ von den Beschwerdeführerin insbesondere deshalb in den Ausstand verlangt, weil der wirtschaftliche Eigentümer der J.________ AG gemäss der eigenen Dar- stellung des Gutachters ein durch die Q.________-GmbH verwalteter Fonds sei und die Q.________-GmbH eine (non-audit) Kundenbeziehung mit gewissen ausländischen M.________-Gesellschaften habe. Angesichts dessen wäre es zur Abklärung des Sachver- Seite 5/6 halts erforderlich gewesen, dass L.________ sich zu dieser Kundenbeziehung in substanzi- ierter Weise äussert. Insbesondere hätte er darlegen können, bei welchen ausländischen M.________-Gesellschaften die Q.________-GmbH Kundin ist und ob diese ausländischen M.________-Gesellschaften mit seiner Arbeitgeberin, der M.________ AG, N.________, verbunden sind. Falls dies zutrifft, wären diese Verbindungen zu erläutern gewesen. Nur so hätte schlüssig beurteilt werden können, ob der von den Beschwerdeführern geltend ge- machte Anschein der Befangenheit von L.________ begründet ist. Auf eine Stellungnahme von L.________ zum Ausstandsgesuch der Beschwerdeführerin konnte daher im vorliegen- den Fall nicht verzichtet werden. Der angefochtene Entscheid ist daher aufzuheben und die Sache an die Vorinstanz zurückzuweisen. Damit wird das Gesuch der Beschwerdeführer um aufschiebende Wirkung gegenstandslos.</w:t>
      </w:r>
    </w:p>
    <w:p>
      <w:r>
        <w:rPr>
          <w:b/>
        </w:rPr>
        <w:t>E. 5</w:t>
      </w:r>
    </w:p>
    <w:p>
      <w:r>
        <w:t>Soweit die Beschwerdeführer die Gutheissung des Ausstandsgesuchs beantragen, erweist sich dieser Antrag als unbegründet. Wie dargelegt, kann das Ausstandsgesuch mangels einer substanziierten Stellungnahme von L.________ nicht abschliessend beurteilt werden, weshalb die Rückweisung an die Vorinstanz anzuordnen ist.</w:t>
      </w:r>
    </w:p>
    <w:p>
      <w:r>
        <w:rPr>
          <w:b/>
        </w:rPr>
        <w:t>E. 6</w:t>
      </w:r>
    </w:p>
    <w:p>
      <w:r>
        <w:t>Bei diesem Ausgang unterliegen die Beschwerdeführer mit ihrem Hauptantrag und obsiegen lediglich mit ihrem Eventualbegehren. Die Beschwerdegegnerin unterliegt andererseits mit ih- rem Antrag auf vollumfängliche Abweisung der Beschwerde. Angesichts dessen rechtfertigt es sich, die Kosten des Beschwerdeverfahrens den Parteien je zur Hälfte aufzuerlegen und die Parteikosten wettzuschlagen.</w:t>
      </w:r>
    </w:p>
    <w:p>
      <w:r>
        <w:rPr>
          <w:b/>
        </w:rPr>
        <w:t>E. 7</w:t>
      </w:r>
    </w:p>
    <w:p>
      <w:r>
        <w:t>Gegen dieses Urteil ist nach Art. 92 Abs. 1 BGG die Beschwerde ans Bundesgericht zuläs- sig, da der erforderliche Streitwert von CHF 30'000.00 aufgrund der eingeklagten Forderung von über CHF 22 Mio. erreicht wird (Urteil des Bundesgerichts 4A_155/2021 vom 30. Sep- tember 2021 E. 1).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