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91 vom 16. Mai 2025</w:t>
      </w:r>
    </w:p>
    <w:p>
      <w:r>
        <w:t>ZG Obergericht, 2025-05-16, DE</w:t>
      </w:r>
    </w:p>
    <w:p>
      <w:r>
        <w:rPr>
          <w:b/>
        </w:rPr>
        <w:t xml:space="preserve">Quelle: </w:t>
      </w:r>
      <w:r>
        <w:t>https://mcp.opencaselaw.ch/entscheid/zg_obergericht_BS_2024_91</w:t>
      </w:r>
    </w:p>
    <w:p>
      <w:r>
        <w:t>FR: ZG_OBERGERICHT BS 2024 91 du 16 mai 2025</w:t>
      </w:r>
    </w:p>
    <w:p>
      <w:r>
        <w:t>IT: ZG_OBERGERICHT BS 2024 91 del 16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 Hat die Beschwer- de ausschliesslich die wirtschaftlichen Nebenfolgen eines Entscheids bei einem strittigen Be- trag von nicht mehr als CHF 5'000.00 zum Gegenstand, so beurteilt die Verfahrensleitung die Beschwerde allein (Art. 395 lit. b StPO). Zu den wirtschaftlichen Nebenfolgen gehören na- mentlich die Verfahrenskosten, die Entschädigungen und die Genugtuung (Guidon, Basler Kommentar, 3. A. 2023, Art. 395 StPO N 5).</w:t>
      </w:r>
    </w:p>
    <w:p>
      <w:r>
        <w:rPr>
          <w:b/>
        </w:rPr>
        <w:t>E. 2</w:t>
      </w:r>
    </w:p>
    <w:p>
      <w:r>
        <w:t>Die vorliegende Beschwerde richtet sich gegen die Regelung der wirtschaftlichen Nebenfol- gen – namentlich der Genugtuung – in der Einstellungsverfügung der Staatsanwaltschaft vom 28. August 2024 (vgl. vorne Sachverhalt Ziff. 3 f.). Das Obergericht hob diese Einstel- lungsverfügung (u.a. in Bezug auf die Beschwerdeführer) mit Beschluss vom 14. Mai 2025 auf (vgl. vorne Sachverhalt Ziff. 7). Die von den Beschwerdeführern gegen die wirtschaftli- chen Nebenfolgen der Einstellungsverfügung erhobene Beschwerde ist damit gegenstands- los geworden. Dementsprechend ist das Beschwerdeverfahren zufolge Gegenstandslosigkeit abzuschreiben. Zuständig hierfür ist die Abteilungspräsidentin (vgl. § 23 Abs. 2 lit. f GOG).</w:t>
      </w:r>
    </w:p>
    <w:p>
      <w:r>
        <w:rPr>
          <w:b/>
        </w:rPr>
        <w:t>E. 3</w:t>
      </w:r>
    </w:p>
    <w:p>
      <w:r>
        <w:t>Zu regeln bleiben die Kosten- und Entschädigungsfolgen des Beschwerdeverfahrens.</w:t>
      </w:r>
    </w:p>
    <w:p>
      <w:r>
        <w:rPr>
          <w:b/>
        </w:rPr>
        <w:t>E. 3.1</w:t>
      </w:r>
    </w:p>
    <w:p>
      <w:r>
        <w:t>Die Kosten- und Entschädigungsfolgen im Rechtsmittelverfahren tragen die Parteien nach ih- rem Obsiegen und Unterliegen (Art. 428 Abs. 1 StPO). Ob eine Partei als obsiegend oder un- terliegend gilt, hängt davon ab, in welchem Ausmass ihre vor der Rechtsmittelinstanz gestell- ten Anträge gutgeheissen wurden. Zur Frage, wie die Kosten bei Gegenstandslosigkeit zu verteilen sind, äussert sich Art. 428 Abs. 1 StPO nicht. Tritt diese während der Hängigkeit des Rechtsmittels ein, ist für die Beurteilung der Kostenfolgen in erster Linie auf den mut- masslichen Prozessausgang abzustellen. Dieser ist bloss summarisch zu prüfen. Lässt er sich nicht feststellen, so ist nach den allgemeinen prozessrechtlichen Kriterien jene Partei kostenpflichtig, die das Verfahren veranlasst hat oder bei welcher die Gründe eingetreten sind, die zur Gegenstandslosigkeit des Prozesses geführt haben (Urteil des Bundesgerichts 6B_870/2022 vom 28. Juni 2024 E. 1.2.3; 1B_115/2017 vom 12. Juni 2017 E. 2.3.1; vgl. auch Domeisen, Basler Kommentar, 3. A. 2023, Art. 428 StPO N 14).</w:t>
      </w:r>
    </w:p>
    <w:p>
      <w:r>
        <w:rPr>
          <w:b/>
        </w:rPr>
        <w:t>E. 3.2</w:t>
      </w:r>
    </w:p>
    <w:p>
      <w:r>
        <w:t>Eine summarische Prüfung der Akten lässt vorliegend keine zuverlässige Prognose über den mutmasslichen Prozessausgang zu. Vor diesem Hintergrund sind die Kosten auf die Staats- Seite 4/4 kasse zu nehmen, zumal die Einstellungsverfügung der Staatsanwaltschaft Anlass zur Be- schwerde gab und die Einstellungsverfügung (jedenfalls in Bezug auf die Beschwerdeführer) inzwischen aufgehoben wurde.</w:t>
      </w:r>
    </w:p>
    <w:p>
      <w:r>
        <w:rPr>
          <w:b/>
        </w:rPr>
        <w:t>E. 3.3</w:t>
      </w:r>
    </w:p>
    <w:p>
      <w:r>
        <w:t>Im Weiteren sind die Beschwerdeführer für ihre Aufwendungen angemessen aus der Staats- kasse zu entschädigen (vgl. vorne E. 3.1).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