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89 vom 23. Januar 2025</w:t>
      </w:r>
    </w:p>
    <w:p>
      <w:r>
        <w:t>ZG Obergericht, 2025-01-23, DE</w:t>
      </w:r>
    </w:p>
    <w:p>
      <w:r>
        <w:rPr>
          <w:b/>
        </w:rPr>
        <w:t xml:space="preserve">Quelle: </w:t>
      </w:r>
      <w:r>
        <w:t>https://mcp.opencaselaw.ch/entscheid/zg_obergericht_BS_2024_89</w:t>
      </w:r>
    </w:p>
    <w:p>
      <w:r>
        <w:t>FR: ZG_OBERGERICHT BS 2024 89 du 23 janvier 2025</w:t>
      </w:r>
    </w:p>
    <w:p>
      <w:r>
        <w:t>IT: ZG_OBERGERICHT BS 2024 89 del 23 gennaio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 Beschwerde des Beschwerdefüh- rers vom 5. September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 Der Beschwerdeführer ficht in seiner Beschwerde die Kostenauflage von CHF 11'118.30 an. Zuständig zur Beurteilung der vorliegenden Beschwerde ist demnach die Beschwerdeinstanz als Kollegialgericht (Art. 395 lit. b StPO e contrario).</w:t>
      </w:r>
    </w:p>
    <w:p>
      <w:r>
        <w:rPr>
          <w:b/>
        </w:rPr>
        <w:t>E. 2</w:t>
      </w:r>
    </w:p>
    <w:p>
      <w:r>
        <w:t>Die Staatsanwaltschaft begründete die Einstellung der Strafuntersuchung gegen den Be- schwerdeführer zusammengefasst wie folgt:</w:t>
      </w:r>
    </w:p>
    <w:p>
      <w:r>
        <w:rPr>
          <w:b/>
        </w:rPr>
        <w:t>E. 2.1</w:t>
      </w:r>
    </w:p>
    <w:p>
      <w:r>
        <w:t>Neben der C.________ habe sich auch die P.________ der Zusammenarbeit zwischen der G.________ und der E.________ angeschlossen, indem sie mit der E.________ den Vertrag vom 29. Februar 2012 abgeschlossen habe, worin auf das "I.________ Agreement" vom 29. Februar 2012 Bezug genommen worden sei und sich die P.________ verpflichtet habe, sich mit einer Finanzierung in der Höhe von USD 2,5 Mio. zu beteiligen. Dabei sei festgehalten worden, dass die P.________ diesen Betrag an die E.________ zu bezahlen habe, nachdem die E.________ bereits USD 3 Mio. in das "Projekt J.________" einbezahlt habe. Der Be- schwerdeführer habe diese Vereinbarung mitunterzeichnet. In der Folge habe die P.________ der E.________ im Zusammenhang mit diesem Projekt insgesamt rund USD 2,5 Mio. überwiesen. Es bestünden somit klare Hinweise dafür, dass nebst der C.________ auch die P.________ ihrer Verpflichtung nachgekommen sei und den Investitionsbetrag von USD 2,5 Mio. geleistet habe.</w:t>
      </w:r>
    </w:p>
    <w:p>
      <w:r>
        <w:rPr>
          <w:b/>
        </w:rPr>
        <w:t>E. 2.2</w:t>
      </w:r>
    </w:p>
    <w:p>
      <w:r>
        <w:t>Bei einer Sitzung am 14. September 2013 sei die Zusammenarbeit zwischen der E.________, der G.________ und der C.________ beendet worden. In einem diesbezügli- chen Schreiben sei vereinbart worden, dass die G.________ die Investition von USD 3,5 Mio. zuzüglich des vereinbarten Gewinnanteils innert 30 Tagen auf das auf die C.________ lautende Konto bei der N.________ AG überweise. Mit Vertrag vom 2. Dezember 2013 zwi- schen der E.________ und der P.________ sei deren Zusammenarbeit gemäss dem Vertrag vom 29. Februar 2012 ebenfalls beendet und vereinbart worden, dass die E.________ der P.________ USD 2,5 Mio. zurückzubezahlen habe. Spätestens am 2. Dezember 2013 habe die G.________ somit der C.________ USD 3,5 Mio. und die E.________ der P.________ USD 2,5 Mio. zurückzuerstatten gehabt. Mit Schreiben vom 13. Dezember 2013 habe die C.________ die G.________ schliesslich angewiesen, ihr USD 3,5 Mio. zu bezahlen mit dem Vermerk "Repayment of investment U.________".</w:t>
      </w:r>
    </w:p>
    <w:p>
      <w:r>
        <w:t>Seite 5/12</w:t>
      </w:r>
    </w:p>
    <w:p>
      <w:r>
        <w:rPr>
          <w:b/>
        </w:rPr>
        <w:t>E. 2.3</w:t>
      </w:r>
    </w:p>
    <w:p>
      <w:r>
        <w:t>Die G.________ habe in der Folge Überweisungen in der Höhe von insgesamt USD 2,5 Mio. an die P.________ geleistet. Bei der Aktionärsversammlung der P.________ vom 15. Januar 2014 sei schliesslich festgestellt worden, dass die P.________ das Investment im Betrag von USD 2,5 Mio. in Zusammenhang mit dem Joint-Venture betreffend das "Projekt J.________" zurückerhalten habe. Das Protokoll zu dieser Versammlung sei vom Beschwerdeführer mit- unterzeichnet worden. Des Weiteren habe die G.________ der C.________ insgesamt USD 1 Mio. überwiesen. Aus diesen Zahlungsflüssen sowie den vermerkten Zahlungszwecken gehe hervor, dass die Zahlungen über insgesamt USD 2,5 Mio. von der G.________ an die P.________ nicht die Rückzahlung, welche die G.________ an die C.________ zu leisten gehabt habe, hätten betreffen können. Es bestünden somit klare Hinweise dafür, dass die G.________ sowohl der C.________ als auch der P.________ jeweils eine Rückzahlung ge- schuldet und ihre Schuld gegenüber der P.________ am 7. Januar 2014 beglichen habe. Insgesamt betrachtet habe sich der Tatverdacht, dass die P.________ keinen Anspruch auf die ihr so überwiesenen USD 2,5 Mio. gehabt habe, nicht erhärtet.</w:t>
      </w:r>
    </w:p>
    <w:p>
      <w:r>
        <w:rPr>
          <w:b/>
        </w:rPr>
        <w:t>E. 2.4</w:t>
      </w:r>
    </w:p>
    <w:p>
      <w:r>
        <w:t>Gemäss E-Mail vom 13. März 2014 von T.________ (C.________) an O.________ (G.________) habe die C.________ weitere USD 320'000.00 erhalten, womit zu diesem Zeitpunkt noch eine Rückzahlung im Betrag von USD 2,5 Mio. offen gestanden habe. In der Folge sei mehrmals zwischen der C.________ und der G.________ versucht worden, eine Einigung betreffend die Rückzahlung der noch offenen USD 2,5 Mio. zu erzielen. Mit E-Mail vom 27. März 2014 habe die V.________ (Vertretung C.________) T.________ mitgeteilt, dass O.________ das vorbereitete "Agreement" betreffend die Rückzahlung der noch ausstehenden USD 2,5 Mio. nicht unterzeichnen werde. Schliesslich habe die C.________ in H.________ ein Gerichtsurteil erwirkt, worin die G.________ verpflichtet worden sei, der C.________ USD 2,5 Mio. zurückzuzahlen. Mit Vereinbarung vom 27. Mai 2014 hätten sich die G.________ und die C.________ darauf geeinigt, dass die G.________ der C.________ bis zum 25. August 2014 USD 2,5 Mio. auf deren Konto bei der N.________ AG überweisen werde. Nachdem die G.________ innert Frist keine Zahlung geleistet habe, habe die C.________ am 27. August 2014 eine "Garnishee Order" betreffend das auf die G.________ bei der R.________ Bank lautende Konto sowie einen "writ of seizure of sale" gegen das Ei- gentum der G.________ erwirkt. Dabei seien das Bankguthaben und eine Fracht der G.________ beschlagnahmt worden, wodurch die G.________ handlungsunfähig geworden sei.</w:t>
      </w:r>
    </w:p>
    <w:p>
      <w:r>
        <w:rPr>
          <w:b/>
        </w:rPr>
        <w:t>E. 2.5</w:t>
      </w:r>
    </w:p>
    <w:p>
      <w:r>
        <w:t>Gemäss E-Mail der V.________ an T.________ vom 5. September 2014 sei O.________ am</w:t>
      </w:r>
    </w:p>
    <w:p>
      <w:r>
        <w:rPr>
          <w:b/>
        </w:rPr>
        <w:t>E. 2.6</w:t>
      </w:r>
    </w:p>
    <w:p>
      <w:r>
        <w:t>Es bestünden keine Anhaltspunkte dafür, dass O.________ dieses nicht datierte Schreiben bereits einmal zuvor erwähnt, geschweige denn irgendwo eingereicht habe, obwohl die C.________ spätestens ab Anfang 2014 von der G.________ die Bezahlung der restlichen USD 2,5 Mio. gefordert habe. Auch als O.________ im März 2014 das von der C.________ vorbereitete "Agreement" betreffend die Rückzahlung der noch ausstehenden USD 2,5 Mio. nicht habe unterzeichnen wollen und seinen Entscheid auch begründet habe, habe er dieses Schreiben nicht erwähnt. Es bestünden auch keine Hinweise, dass O.________ im erwähn- ten Gerichtsverfahren in H.________ das besagte Schreiben ins Recht gelegt habe. Auch in der zwischen der C.________ und der G.________ am 27. Mai 2014 abgeschlossen Verein- barung sei dieses Schreiben bzw. der von O.________ am 4. September 2014 geltend ge- machte Umstand, wonach die G.________ ihre Schuld gegenüber der C.________ eigentlich bereits beglichen habe, nicht erwähnt. Diese Vorgehensweise bzw. dieses Verhalten von O.________ bzw. der G.________ sei nicht nachvollziehbar. Vielmehr bestünden Anzeichen dafür, dass es sich dabei um eine Schutzbehauptung von O.________ gehandelt habe und es bestehe der Verdacht, dass O.________ dieses Schreiben selber fabriziert habe mit dem Ziel, die C.________ dazu zu bringen, die gegen die G.________ angeordneten Vermögens- sperrungen aufheben zu lassen.</w:t>
      </w:r>
    </w:p>
    <w:p>
      <w:r>
        <w:rPr>
          <w:b/>
        </w:rPr>
        <w:t>E. 2.7</w:t>
      </w:r>
    </w:p>
    <w:p>
      <w:r>
        <w:t>Somit habe sich der Verdacht, dass der Beschwerdeführer der C.________ spätestens ab dem 13. Dezember 2013 eine Rückzahlung in der Höhe von total USD 2,5 Mio. aus einem Joint-Venture mit der E.________ und der G.________ zwecks persönlicher Bereicherung vorenthalten und so die C.________ geschädigt habe, nicht erhärtet. 3. Die Verfahrenskosten auferlegte die Staatsanwaltschaft dem Beschwerdeführer mit der fol- genden – kurz zusammengefassten – Begründung: 3.1 Der Beschwerdeführer sei vom 29. Dezember 2009 bis zum 12. Dezember 2014 Mitglied des Verwaltungsrates der C.________ und somit gestützt auf Art. 717 Abs. 1 OR verpflichtet ge- wesen, den Verwaltungsrat bzw. den Präsidenten über sämtliche Vorgänge, die einen Ein- fluss auf die Geschäftstätigkeit der C.________ gehabt hätten, zu orientieren. Der Be- schwerdeführer sei seinen Pflichten gegenüber der C.________ nicht nachgekommen, weil er T.________ weder über seine Beziehung zur P.________ informiert habe noch über den Umstand, dass die P.________ auch in das erwähnte Joint-Venture involviert gewesen sei und ebenfalls Anspruch auf eine Rückerstattung ihrer Investition in der Höhe von USD 2,5 Mio. gehabt habe. Für die Darstellung des Beschwerdeführers, wonach T.________ (C.________) über diese Belange Bescheid gewusst habe, seien in den Akten keine Hinwei- se zu entnehmen. Etwas anderes ergebe sich auch nicht aus der E-Mail von W.________ (P.________) an T.________ (C.________) vom 10. September 2013. 3.2 Der Umstand, dass der Beschwerdeführer den Verwaltungsrat der C.________ nicht über die betreffenden Sachverhalte orientiert habe, sei geeignet gewesen, den Verdacht einer strafba- ren Handlung zu erwecken, und habe der C.________ schliesslich Anlass dazu gegeben, am 30. April 2015 gegen den Beschwerdeführer Strafanzeige zu erstatten. Damit habe der Be- schwerdeführer die Einleitung des vorliegenden Verfahrens rechtswidrig und schuldhaft be- wirkt, weshalb ihm die Verfahrenskosten aufzuerlegen seien. Aus diesem Grund entfalle auch eine Entschädigungspflicht gegenüber dem Beschwerdeführer</w:t>
      </w:r>
    </w:p>
    <w:p>
      <w:r>
        <w:t>Seite 7/12</w:t>
      </w:r>
    </w:p>
    <w:p>
      <w:r>
        <w:rPr>
          <w:b/>
        </w:rPr>
        <w:t>E. 4</w:t>
      </w:r>
    </w:p>
    <w:p>
      <w:r>
        <w:t>Der Beschwerdeführer hält dem zusammengefasst Folgendes entgegen:</w:t>
      </w:r>
    </w:p>
    <w:p>
      <w:r>
        <w:rPr>
          <w:b/>
        </w:rPr>
        <w:t>E. 4.1</w:t>
      </w:r>
    </w:p>
    <w:p>
      <w:r>
        <w:t>Aus Art. 717 Abs. 1 OR ergebe sich nicht, dass ein Verwaltungsratsmitglied gegen das Kon- kurrenzverbot oder die allgemeine Treuepflicht verstosse, wenn es zugleich in einem ande- ren Unternehmen als Verwaltungsratsmitglied fungiere und beide Gesellschaften in dasselbe Drittunternehmen investierten und damit die gleichen Interessen verfolgten. Es sei nicht er- sichtlich, inwiefern dies die eine oder andere Gesellschaft direkt oder indirekt schädigen soll- te. Insofern treffe das Verwaltungsratsmitglied auch keine Informationspflicht dem Verwal- tungsrat bzw. der Gesellschaft gegenüber.</w:t>
      </w:r>
    </w:p>
    <w:p>
      <w:r>
        <w:rPr>
          <w:b/>
        </w:rPr>
        <w:t>E. 4.2</w:t>
      </w:r>
    </w:p>
    <w:p>
      <w:r>
        <w:t>T.________ (C.________) habe entgegen der Darstellung der Staatsanwaltschaft bestens über die Investition der P.________ (als Eigentümerin der C.________) Bescheid gewusst. Ebenso habe er Kenntnis von der Beziehung des Beschwerdeführers zur P.________ ge- habt. Die P.________ habe 64 von 144 Inhaberaktien der C.________ besessen. Einzig der Beschwerdeführer bzw. die von ihm beherrschte P.________ hätten anlässlich der Kapitaler- höhung um CHF 2,2 Mio. am 29. Februar 2012 sämtliche neu ausgegebenen 44 Inhaberakti- en gezeichnet. Auch in diesem Zusammenhang habe ein intensiver Austausch zwischen dem Beschwerdeführer und T.________ stattgefunden. Es treffe somit nicht zu, dass der Be- schwerdeführer die Beziehung zur P.________ verschwiegen und dadurch bei der C.________ den Verdacht einer strafbaren Handlung erweckt habe.</w:t>
      </w:r>
    </w:p>
    <w:p>
      <w:r>
        <w:rPr>
          <w:b/>
        </w:rPr>
        <w:t>E. 4.3</w:t>
      </w:r>
    </w:p>
    <w:p>
      <w:r>
        <w:t>Sodann sei unzutreffend, dass der Beschwerdeführer T.________ nicht darüber in Kenntnis gesetzt habe, dass die P.________ ebenfalls im gegenständlichen Joint-Venture mit eigenen (unabhängig von der C.________) abgeschlossenen Verträgen beteiligt gewesen sei. Die Staatsanwaltschaft gehe in der Einstellungsverfügung zu Recht davon aus, dass es sich beim nicht datierten Schreiben um ein selbst fabriziertes Schreiben von O.________ handeln müsse, mit welchem dieser die C.________ bzw. T.________ habe dazu bringen wollen, die gegen die G.________ angeordneten Vermögenssperren aufheben zu lassen. Dem Beschwerdeführer könne nicht vorgehalten werden, er hätte T.________ über den Bestand dieses Schreibens informieren müssen, nachdem der Beschwerdeführer dieses Schreiben zum ersten Mal an der Hafteinvernahme vom 19. März 2024 gesehen habe. Im Gegenteil habe es T.________ pflichtwidrig unterlassen, die Angelegenheit mit dem Beschwerdeführer zu besprechen und Licht ins Dunkel zu bringen. Die Staatsanwaltschaft verkenne sodann, dass der Beschwerdeführer der C.________ keine Informationen zum vorgenannten Projekt schuldig gewesen sei, da er als Verwaltungsrat der P.________ vielmehr eine Verschwie- genheitspflicht gegenüber Drittgesellschaften gehabt habe.</w:t>
      </w:r>
    </w:p>
    <w:p>
      <w:r>
        <w:rPr>
          <w:b/>
        </w:rPr>
        <w:t>E. 4.4</w:t>
      </w:r>
    </w:p>
    <w:p>
      <w:r>
        <w:t>Die C.________ habe in Anlehnung an die im September 2014 getätigte E-Mail von O.________ im April 2014 Strafanzeige gegen den Beschwerdeführer eingereicht. Es sei der Strafanzeige unmissverständlich zu entnehmen, dass dieses gefälschte Schreiben kausal dazu geführt habe, den Verdacht einer strafbaren Handlung des Beschwerdeführers zu er- wecken. Es könne dem Beschwerdeführer nicht zur Last gelegt werden, wenn sich die C.________ gestützt auf ein gefälschtes Dokument dazu veranlasst gesehen habe, eine Strafanzeige gegen den Beschwerdeführer einzureichen.</w:t>
      </w:r>
    </w:p>
    <w:p>
      <w:r>
        <w:rPr>
          <w:b/>
        </w:rPr>
        <w:t>E. 4.5</w:t>
      </w:r>
    </w:p>
    <w:p>
      <w:r>
        <w:t>T.________ habe von Beginn an über die Involvierung und Investition der P.________ in das Projekt J.________ bestens Bescheid gewusst. Sämtliche involvierten Personen hätten die</w:t>
      </w:r>
    </w:p>
    <w:p>
      <w:r>
        <w:t>Seite 8/12 Vereinbarungen gemeinsam am 29. Februar 2012 unterzeichnet. Bereits im Vorfeld zur Sit- zung vom 14. September 2013 in M.________, wo die Zusammenarbeit zwischen sämtlichen Beteiligten beendet worden sei, habe es einen E-Mail-Austausch zwischen W.________ (P.________), dem Beschwerdeführer (P.________ und C.________) und T.________ (C.________) gegeben. In einer E-Mail vom 10. September 2013 habe W.________ (P.________) T.________ (C.________) darüber informiert, dass die P.________ mit der G.________ eine neue Vereinbarung (I.________ agreement) entworfen habe. Mit der Bitte, besagte Vereinbarung zu überprüfen und zurückzusenden, habe er diese der E-Mail an- gehängt. Nebst unzähligen Sitzungen und Besprechungen/Telefonaten ergebe sich auch aus dieser Vereinbarung die Beteiligung der P.________, deren Investition sowie folgerichtig auch der Rückerstattungsanspruch der P.________ unmissverständlich. Der Beschwerdefüh- rer sei von Beginn weg seinen (allfällig bestehenden) Informationspflichten nachgekommen. Es könne ihm nicht vorgeworfen werden, schuldhaft die Einleitung des vorliegenden Strafver- fahrens bewirkt zu haben.</w:t>
      </w:r>
    </w:p>
    <w:p>
      <w:r>
        <w:rPr>
          <w:b/>
        </w:rPr>
        <w:t>E. 5</w:t>
      </w:r>
    </w:p>
    <w:p>
      <w:r>
        <w:t>Die beschuldigte Person trägt die Verfahrenskosten, wenn sie verurteilt wird (Art. 426 Abs. 1 StPO).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Unter den gleichen Voraussetzungen kann nach Art. 430 Abs. 1 lit. a StPO eine Entschädigung herabgesetzt oder verweigert werden (Urteile des Bundesge- richts 6B_940/2023 vom 18. März 2024 E. 1.3.1; 6B_15/2021 vom 12. November 2021 E. 4.1.2). Der Kostenentscheid präjudiziert die Entschädigungsfrage (BGE 147 IV 47 E. 4.1).</w:t>
      </w:r>
    </w:p>
    <w:p>
      <w:r>
        <w:rPr>
          <w:b/>
        </w:rPr>
        <w:t>E. 5.1</w:t>
      </w:r>
    </w:p>
    <w:p>
      <w:r>
        <w:t>Bei der Kostenüberbindung bei Verfahrenseinstellung handelt es sich nicht um eine Haftung für strafrechtliches Verschulden, sondern um eine den zivilrechtlichen Grundsätzen an- genäherte Haftung für fehlerhaftes Verhalten, durch das die Einleitung oder Erschwerung ei- nes Strafverfahrens verursacht wurde. In diesem Sinne stellt die Kostenüberbindung eine Haftung prozessualer Natur für die Mehrbeanspruchung der Untersuchungsbehörden und die dadurch entstandenen Kosten dar. Das Verletzen bloss moralischer oder ethischer Pflichten genügt für die Auferlegung der Verfahrenskosten nicht (BGE 116 Ia 162 E. 2b und 2c; Urteile des Bundesgerichts 6B_1119/2021 vom 6. Oktober 2022 E. 2.3.2 und 6B_665/2020 vom 22. September 2021 E. 2.2.1). Nach der Rechtsprechung des Bundesgerichts verstösst eine Kostenauflage bei Freispruch oder Einstellung des Verfahrens gegen die Unschuldsvermu- tung (Art. 10 Abs. 1 StPO; Art. 32 Abs. 1 BV; Art. 6 Ziff. 2 EMRK), wenn der beschuldigten Person in der Begründung des Kostenentscheids direkt oder indirekt vorgeworfen wird, es treffe sie ein strafrechtliches Verschulden. Damit käme die Kostenauflage einer Verdachts- strafe gleich. Dagegen ist es mit Verfassung und Konvention vereinbar, einer nicht verurteil- ten beschuldigten Person die Kosten zu überbinden, wenn sie in zivilrechtlich vorwerfbarer Weise, d.h. im Sinne einer analogen Anwendung der sich aus Art. 41 OR ergebenden Grundsätze, eine geschriebene oder ungeschriebene Verhaltensnorm, die sich aus der Ge- 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144 IV 202 E. 2.2; 120 Ia 147 3b; 119 Ia 332 E. 1b).</w:t>
      </w:r>
    </w:p>
    <w:p>
      <w:r>
        <w:t>Seite 9/12</w:t>
      </w:r>
    </w:p>
    <w:p>
      <w:r>
        <w:rPr>
          <w:b/>
        </w:rPr>
        <w:t>E. 5.2</w:t>
      </w:r>
    </w:p>
    <w:p>
      <w:r>
        <w:t>Zwischen dem zivilrechtlich vorwerfbaren Verhalten und den durch die Untersuchung ent- standenen Kosten muss zusätzlich ein adäquater Kausalzusammenhang bestehen. Das ge- gen geschriebene oder ungeschriebene, kommunale, kantonale oder eidgenössische Verhal- 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dann infrage, wenn sich die Behörde auf- grund des normwidrigen Verhaltens der beschuldigten Person in Ausübung pflichtgemässen Ermessens zur Einleitung eines Strafverfahrens veranlasst sehen konnte. Eine Auferlegung von Kosten an die beschuldigte Person fällt jedenfalls insoweit ausser Betracht, als die Behörde aus Übereifer, aufgrund unrichtiger Beurteilung der Rechtslage oder vorschnell eine Strafuntersuchung eingeleitet hat. Dies entspricht auch dem Grundsatz, dass der Überbin- dung von Verfahrenskosten an die beschuldigte Person bei Freispruch oder Einstellung des Verfahrens Ausnahmecharakter zukommt (BGE 144 IV 202 E. 2.2; 116 Ia 162 E. 2c; Urteile des Bundesgerichts 7B_18/2023 vom 24. August 2023 E. 3.1.1 und 6B_877/2016 vom 13. Januar 2017 E. 3.2).</w:t>
      </w:r>
    </w:p>
    <w:p>
      <w:r>
        <w:rPr>
          <w:b/>
        </w:rPr>
        <w:t>E. 6</w:t>
      </w:r>
    </w:p>
    <w:p>
      <w:r>
        <w:t>Die Staatsanwaltschaft begründet ein zivilrechtlich vorwerfbares Verhalten des Beschwerde- führers mit dem Hinweis auf Art. 717 Abs. 1 OR. Der Beschwerdeführer habe als Mitglied des Verwaltungsrates seine Informationspflicht gegenüber der C.________ verletzt.</w:t>
      </w:r>
    </w:p>
    <w:p>
      <w:r>
        <w:rPr>
          <w:b/>
        </w:rPr>
        <w:t>E. 6.1</w:t>
      </w:r>
    </w:p>
    <w:p>
      <w:r>
        <w:t>Gemäss Art. 717 Abs. 1 OR müssen die Mitglieder des Verwaltungsrates sowie Dritte, die mit der Geschäftsführung befasst sind, ihre Aufgaben mit aller Sorgfalt erfüllen und die Interes- sen der Gesellschaft in guten Treuen wahren. Die gesetzlich normierte Treuepflicht verlangt, dass die Mitglieder des Verwaltungsrats ihr Verhalten am Gesellschaftsinteresse ausrichten. Für die Sorgfalt, die der Verwaltungsrat bei der Führung der Geschäfte der Gesellschaft auf- zuwenden hat, gilt ein objektiver Massstab. Die Verwaltungsräte sind zu aller Sorgfalt ver- pflichtet und nicht nur zur Vorsicht, die sie in eigenen Geschäften anzuwenden pflegen. Das Verhalten eines Verwaltungsratsmitglieds wird deshalb mit demjenigen verglichen, das billi- gerweise von einer abstrakt vorgestellten ordnungsgemäss handelnden Person in einer ver- gleichbaren Situation erwartet werden kann (BGE 139 III 24 E. 3.2 m.H.). Art. 717 Abs. 1 OR umfasst nebst einer Sorgfalts- auch eine Treuepflicht. Dies bedeutet insbesondere, dass Verwaltungsrats- und Geschäftsleitungsmitglieder ihre eigenen Interessen und diejenigen der ihnen nahestehenden Personen hinter die Interessen der Gesellschaft zu stellen haben. In- sofern charakterisiert sich die Treuepflicht letztlich als Interessenswahrungspflicht. Sie be- wirkt vor allem, dass Handlungen zu unterlassen sind, die den Interessen der Gesellschaft schaden könnten, und anderseits Opportunitäten wahrgenommen werden, die einen Nutzen versprechen (Watter/ Roth Pellanda, Basler Kommentar Obligationenrecht II, 6. A. 2024, Art. 717 OR N 15 m.H.).</w:t>
      </w:r>
    </w:p>
    <w:p>
      <w:r>
        <w:rPr>
          <w:b/>
        </w:rPr>
        <w:t>E. 6.2</w:t>
      </w:r>
    </w:p>
    <w:p>
      <w:r>
        <w:t>Der Beschwerdeführer war zur fraglichen Zeit sowohl Verwaltungsrat der P.________ als auch von deren 70%iger Tochtergesellschaft C.________. Beide Gesellschaften waren am "Projekt J.________" beteiligt. So schloss sich die C.________ dem "I.________ agreement" der G.________ und der E.________ vom 29. Februar 2012 an und verpflichtete sich zur Zahlung von USD 3,5 Mio. Die P.________ wiederum ging am 29. Februar 2012 mit der E.________ einen entsprechenden Vertrag ein und beteiligte sich an der Zusammenarbeit</w:t>
      </w:r>
    </w:p>
    <w:p>
      <w:r>
        <w:t>Seite 10/12 mit USD 2,5 Mio. Der Beschwerdeführer als damaliger Verwaltungsrat sowohl der C.________ als auch der P.________ war somit verpflichtet, die Interessen beider Gesell- schaften gleichzeitig wahrzunehmen. Eine solche Situation birgt zwar eine Gefahr von Inter- essenkollisionen in sich. Im vorliegenden Fall verfolgte der Beschwerdeführer aber keine von den Interessen der beiden Gesellschaften abweichenden eigenen Ziele. Beide Gesellschaf- ten hatten im Rahmen dieser Zusammenarbeit das gleiche Ziel, nämlich einen möglichst ho- hen Gewinn aus dem "Projekt J.________" zu erzielen. Ein Verstoss gegen die Treuepflicht gemäss Art. 717 Abs. 1 OR lag schon aus diesem Grund nicht vor.</w:t>
      </w:r>
    </w:p>
    <w:p>
      <w:r>
        <w:rPr>
          <w:b/>
        </w:rPr>
        <w:t>E. 6.3</w:t>
      </w:r>
    </w:p>
    <w:p>
      <w:r>
        <w:t>Zudem erweist sich der Vorwurf der Privatklägerin, wonach der Beschwerdeführer die C.________ über die Beteiligung der P.________ am betreffenden Projekt nicht informiert habe, als unberechtigt. Eine Beteiligung am "Projekt J.________" inklusive den Investitionen und folglich auch den Rückerstattungsanspruch der Gesellschaft muss vielmehr sämtlichen Parteien, welche in das Projekt investierten, bekannt gewesen sein. Dies ergibt sich aus der E-Mail vom 10. September 2013 von W.________ (P.________) an T.________ (C.________). Der Anhang dieser E-Mail enthielt eine neue Vereinbarung (I.________ agreement) betreffend das "Projekt J.________" zwischen der G.________ und der P.________. T.________ wurde gebeten, diese Vereinbarung zu prüfen (Vi act. 26/5/110 ff.). Aus dieser neuen Vereinbarung geht klar hervor, dass auch die P.________ in das betref- fende Projekt involviert war, wird darin doch ausdrücklich auf das ursprüngliche Agreement vom 29. Februar 2012 Bezug genommen. Der neuen Vereinbarung vom 10. September 2013 lässt sich zwar nicht ohne Weiteres entnehmen, dass der Beschwerdeführer als damaliger Verwaltungsrat für die P.________ handelte, jedoch ist aus dem cc-Feld ersichtlich, dass der Vereinbarungsentwurf auch ihm zur Kenntnis gebracht wurde. Dieser E-Mail-Verkehr erfolgte im Übrigen wenige Tage, bevor an der Sitzung vom 14. September 2013 in M.________ die Zusammenarbeit aller Beteiligten in Bezug auf dieses Projekt beendet wurde. Mit der Kennt- nis der neuen Vereinbarung vom 10. September 2013 bestanden für T.________ zumindest hinreichend konkrete Anhaltspunkte für eine Beteiligung der P.________ und des Beschwer- deführers am Projekt, womit es ihm spätestens dann möglich gewesen wäre, sich diesbezüg- lich näher zu erkundigen, bevor die C.________ eine Strafanzeige gegen den Beschwerde- führer einreichte. Da die C.________ somit in der Lage war, sich die relevanten Informatio- nen zu beschaffen, kann dem Beschwerdeführer auch unter diesem Gesichtspunkt kein Ver- stoss gegen Art. 717 Abs. 1 OR vorgeworfen werden.</w:t>
      </w:r>
    </w:p>
    <w:p>
      <w:r>
        <w:rPr>
          <w:b/>
        </w:rPr>
        <w:t>E. 7</w:t>
      </w:r>
    </w:p>
    <w:p>
      <w:r>
        <w:t>Nach dem Gesagten kann dem Beschwerdeführer somit nicht vorgeworfen werden, die Ein- leitung des Verfahrens gemäss Art. 426 Abs. 2 StPO rechtswidrig und schuldhaft bewirkt zu haben. Die Beschwerde ist folglich gutzuheissen, Ziffer 2 der Einstellungsverfügung vom 20. August 2024 aufzuheben und die Verfahrenskosten auf die Staatskasse zu nehmen. Dies hat zur Folge, dass auch die Ziffern 3-3.3 der Einstellungsverfügung aufzuheben sind, da der Grund für die Beschlagnahme (Sicherstellung von Verfahrenskosten; Vi act. 5/1/1) weggefal- len ist (vgl. Art. 267 Abs. 1 StPO). Der Beschwerdeführer ist darüber hinaus gestützt auf Art. 429 Abs. 1 lit. a StPO für die an- gemessene Ausübung der Verfahrensrechte im Untersuchungsverfahren zu entschädigen, obwohl diesbezüglich kein formell abweisender Entscheid seitens der Staatsanwaltschaft er- gangen ist (vgl. Art. 429 Abs. 2 StPO). Die Sache ist diesbezüglich zur Festsetzung der Ent- schädigung sowie einer allfälligen Genugtuung an die Staatsanwaltschaft zurückzuweisen.</w:t>
      </w:r>
    </w:p>
    <w:p>
      <w:r>
        <w:t>Seite 11/12</w:t>
      </w:r>
    </w:p>
    <w:p>
      <w:r>
        <w:rPr>
          <w:b/>
        </w:rPr>
        <w:t>E. 8</w:t>
      </w:r>
    </w:p>
    <w:p>
      <w:r>
        <w:t>Bei diesem Ausgang sind die Kosten des Beschwerdeverfahrens auf die Staatskasse zu nehmen und der Beschwerdeführer ist für das vorliegende Verfahren angemessen aus der Staatskasse zu entschädigen (Art. 428 Abs. 4 StPO; Art. 436 Abs. 3 StPO). Dabei ist zu berücksichtigen, dass Dienstleistungen von Anwälten, die an Empfänger mit Geschäfts- oder Wohnsitz im Ausland erbracht werden, von der Steuerpflicht befreit sind, weshalb keine Mehrwertsteuer hinzuzurechnen ist (Art. 8 Abs. 1 in Verbindung mit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