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5 vom 21. Mai 2024</w:t>
      </w:r>
    </w:p>
    <w:p>
      <w:r>
        <w:t>ZG Obergericht, 2024-05-21, DE</w:t>
      </w:r>
    </w:p>
    <w:p>
      <w:r>
        <w:rPr>
          <w:b/>
        </w:rPr>
        <w:t xml:space="preserve">Quelle: </w:t>
      </w:r>
      <w:r>
        <w:t>https://mcp.opencaselaw.ch/entscheid/zg_obergericht_BS_2024_5</w:t>
      </w:r>
    </w:p>
    <w:p>
      <w:r>
        <w:t>FR: ZG_OBERGERICHT BS 2024 5 du 21 mai 2024</w:t>
      </w:r>
    </w:p>
    <w:p>
      <w:r>
        <w:t>IT: ZG_OBERGERICHT BS 2024 5 del 21 maggio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2 Bst. b GOG und § 7 Abs. 1 GO OG). Auf die unbestritte- nermassen frist- und formgerecht eingereichte Beschwerde der Beschwerdeführerinnen vom 18. Januar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aberkannte den Beschwerdeführerinnen die Privatklägerstellung in der angefochtenen Verfügung aus den folgenden Gründen:</w:t>
      </w:r>
    </w:p>
    <w:p>
      <w:r>
        <w:rPr>
          <w:b/>
        </w:rPr>
        <w:t>E. 2.1</w:t>
      </w:r>
    </w:p>
    <w:p>
      <w:r>
        <w:t>Die Beschwerdeführerinnen B.________ und die D.________ hätten Anteile am Z.________, am Z.________ II, am AB.________ sowie am AC.________ erworben, welche klassische Aktionärsrechte beinhalteten. Die erworbenen Anteile berechtigten indessen nicht dazu, Ge- schäftsführungsaufgaben der Fonds wahrzunehmen. Die gerügten "Layering-Fees" seien dabei von den Fonds sowie von ihren Untergesellschaften bezahlt worden und würden zum Nachteil des Fondsvermögens gehen.</w:t>
      </w:r>
    </w:p>
    <w:p>
      <w:r>
        <w:rPr>
          <w:b/>
        </w:rPr>
        <w:t>E. 2.2</w:t>
      </w:r>
    </w:p>
    <w:p>
      <w:r>
        <w:t>Der Z.________, der Z.________ II und der AB.________ seien als geschlossene Fonds rechtlich mit den Investmentgesellschaften mit festem Kapital nach Art. 110 ff. KAG ver- gleichbar. Dabei handle es sich um Aktiengesellschaften im Sinne des Obligationenrechts. Bei Vermögensdelikten zum Nachteil einer Aktiengesellschaft seien weder die Aktionäre noch die Gesellschaftsgläubiger unmittelbar verletzt, womit die Aktionäre des Z.________, des Z.________ II und des AB.________ nicht direkt im Sinne von Art. 115 StPO geschädigt seien.</w:t>
      </w:r>
    </w:p>
    <w:p>
      <w:r>
        <w:rPr>
          <w:b/>
        </w:rPr>
        <w:t>E. 2.3</w:t>
      </w:r>
    </w:p>
    <w:p>
      <w:r>
        <w:t>Der geschlossene AC.________ sei als AF.________ rechtlich mit der Kommanditgesell- schaft für kollektive Kapitalanlagen nach Art. 98 ff. KAG vergleichbar. Dabei handle es sich um eine Spezialform der Kommanditgesellschaft, welche im Gegensatz zu einer Aktienge- sellschaft über keine Rechtspersönlichkeit verfüge, aber dennoch im Geschäftsverkehr weit- gehend als handlungs-, prozess- und betreibungsfähig eingestuft werde und sich auch direkt als Geschädigte an einem Strafprozess beteiligen könne. An Kommanditgesellschaften betei- ligte Personen seien nicht im Sinne von Art. 115 StPO geschädigt, wenn es sich um Strafta- ten zu Lasten des Sondervermögens der Kommanditgesellschaft handle. Die Anleger der AC.________ seien somit nicht direkt im Sinne von Art. 115 StPO geschädigt.</w:t>
      </w:r>
    </w:p>
    <w:p>
      <w:r>
        <w:t>Seite 6/10</w:t>
      </w:r>
    </w:p>
    <w:p>
      <w:r>
        <w:rPr>
          <w:b/>
        </w:rPr>
        <w:t>E. 2.4</w:t>
      </w:r>
    </w:p>
    <w:p>
      <w:r>
        <w:t>Entsprechend müssten die Verfahrensrechte vorliegend von den Organen der betroffenen Fonds ausgeübt werden und könnten nicht von den Anlegern der Fonds, den Beschwerde- führerinnen B.________ und D.________, geltend gemacht werden.</w:t>
      </w:r>
    </w:p>
    <w:p>
      <w:r>
        <w:rPr>
          <w:b/>
        </w:rPr>
        <w:t>E. 2.5</w:t>
      </w:r>
    </w:p>
    <w:p>
      <w:r>
        <w:t>Betreffend die Beschwerdeführerinnen I.________ AG, E.________ AG, C.________ und A.________ sei nicht ersichtlich, inwiefern diese Gesellschaften durch eine potenziell unnötig hohe Gebührenstruktur der betreffenden Fonds direkt geschädigt bzw. in ihren Rechten un- mittelbar verletzt sein sollten, zumal diese Gesellschaften nicht direkt in die Fonds investiert hätten.</w:t>
      </w:r>
    </w:p>
    <w:p>
      <w:r>
        <w:rPr>
          <w:b/>
        </w:rPr>
        <w:t>E. 3</w:t>
      </w:r>
    </w:p>
    <w:p>
      <w:r>
        <w:t>Als Privatkläger im Zivil- und Strafpunkt kann sich konstituieren, wer in seinen Rechten un- mittelbar verletzt worden ist; Privatklägerschaft setzt Geschädigteneigenschaft gemäss Art. 115 Abs. 1 oder Abs. 2 StPO voraus (Mazzucchelli/Postizzi, Basler Kommentar, 3. A. 2023, Art. 118 StPO N 2). Als Privatklägerschaft gilt die geschädigte Person, die ausdrück- 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Rechtsgutes ist (BGE 143 IV 77 E. 2.2; 141 IV 454 E. 2.3.1).</w:t>
      </w:r>
    </w:p>
    <w:p>
      <w:r>
        <w:rPr>
          <w:b/>
        </w:rPr>
        <w:t>E. 4</w:t>
      </w:r>
    </w:p>
    <w:p>
      <w:r>
        <w:t>Gemäss Art. 158 Ziff. 1 StGB wird bestraft, wer aufgrund des Gesetzes, eines behördlichen Auftrages oder eines Rechtsgeschäfts damit betraut ist, Vermögen eines andern zu verwal- ten oder eine solche Vermögensverwaltung zu beaufsichtigen, und dabei unter Verletzung seiner Pflichten bewirkt oder zulässt, dass der andere am Vermögen geschädigt wird. Die ungetreue Geschäftsbesorgung schützt den Wert des Vermögens als Ganzes. Als geschä- digte Person gilt der jeweilige Vermögensinhaber (vgl. Urteil des Bundesgerichts 6B_453/2015 vom 29. Januar 2016 E. 2.3.1 m.H.). Bei Vermögensdelikten zum Nachteil einer Aktiengesellschaft sind weder die Aktionäre noch die Gesellschaftsgläubiger unmittel- bar verletzt und somit geschädigt (vgl. etwa BGE 140 IV 155 E. 3.3.1; Urteile des Bundes- gerichts 6B_1315/2015 vom 9. August 2016 E. 1.2.1 und 6B_187/2016 vom 17. Juni 2016 E. 1.3; je m.H.).</w:t>
      </w:r>
    </w:p>
    <w:p>
      <w:r>
        <w:rPr>
          <w:b/>
        </w:rPr>
        <w:t>E. 5</w:t>
      </w:r>
    </w:p>
    <w:p>
      <w:r>
        <w:t>Die Beschwerdeführerinnen machen zunächst geltend, die Rechtsprechung zur ungetreuen Geschäftsbesorgung könne nicht zur Anwendung gelangen, wenn im Raum stehe, dass die Verantwortlichen die Investmentgesellschaften, die Fonds und die dahinterstehenden Gesell- schaften gerade mit dem Zweck errichtet hätten, die Investoren zu täuschen und bewusst auch eine Personalunion von Gesellschaften, Fonds und Investment Managerin geschaffen worden sei. In einer solchen Konstellation müssten die Investoren als unmittelbar geschädigt gelten. Der zu untersuchende Sachverhalt sei daher umfassend und insbesondere auch un- ter dem Tatbestand des Betrugs zu untersuchen (act. 1 Rz 60-69).</w:t>
      </w:r>
    </w:p>
    <w:p>
      <w:r>
        <w:rPr>
          <w:b/>
        </w:rPr>
        <w:t>E. 5.1</w:t>
      </w:r>
    </w:p>
    <w:p>
      <w:r>
        <w:t>Dem kann nicht gefolgt werden. Die Beschwerdeführerinnen begründen nicht und es ist auch nicht ersichtlich, weshalb in solchen Konstellationen die bundesgerichtliche Rechtsprechung zur unmittelbaren Schädigung bei Vermögensdelikten zum Nachteil einer Aktiengesellschaft nicht zur Anwendung kommen soll. Soweit die Beschwerdeführerinnen in diesem Zusam- menhang die Weiterführung der Untersuchung unter dem Aspekt des Betrugs verlangen, ist daran zu erinnern, dass der Vorwurf des Betrugs nicht mehr im Raum steht, nachdem die</w:t>
      </w:r>
    </w:p>
    <w:p>
      <w:r>
        <w:t>Seite 7/10 I. Beschwerdeabteilung des Obergerichts diesen im Urteil vom 21. April 2021 mangels Täu- schung als offenkundig unbegründet erachtete und das Bundesgericht auf die von den Be- schwerdeführerinnen dagegen erhobene Beschwerde nicht eintrat (vgl. unten E. 6).</w:t>
      </w:r>
    </w:p>
    <w:p>
      <w:r>
        <w:rPr>
          <w:b/>
        </w:rPr>
        <w:t>E. 5.2</w:t>
      </w:r>
    </w:p>
    <w:p>
      <w:r>
        <w:t>Entgegen der Auffassung der Beschwerdeführerinnen ist auch nicht ersichtlich, inwiefern diese im Zusammenhang mit der Strukturierung der Fonds unmittelbar geschädigt wären. Soweit die Beschwerdeführerinnen Anteile am Z.________, dem Z.________ II, dem AB.________ und dem AC.________ erworben haben, wurden die betreffenden "Layering- Fees" von den Fonds und deren Untergesellschaften bezahlt, womit sie zu Lasten des Fondsvermögens und nicht der Investoren gehen. Daraus folgt, dass allenfalls das Vermö- gen der Fonds und nicht dasjenige der Investoren unmittelbar beeinträchtigt wurde. Die Staatsanwaltschaft hat folglich in Bezug auf die in der Strafanzeige geltend gemachten Pflichtverletzungen der Beschuldigten als Investment Manager der verschiedenen Fonds ei- ne direkte Schädigung der Beschwerdeführerinnen zu Recht verneint.</w:t>
      </w:r>
    </w:p>
    <w:p>
      <w:r>
        <w:rPr>
          <w:b/>
        </w:rPr>
        <w:t>E. 5.3</w:t>
      </w:r>
    </w:p>
    <w:p>
      <w:r>
        <w:t>Die Staatsanwaltschaft hat in der angefochtenen Verfügung sodann nachvollziehbar begrün- det, dass die von den Beschwerdeführerinnen investierten Gelder, welche gemäss der Dar- stellung der Beschwerdeführerinnen sorgfaltspflichtwidrig verwendet worden sein sollen, in das Eigentum der Fonds übergegangen sind, und die Beschwerdeführerinnen deshalb nicht unmittelbar geschädigt sind. In Bezug auf den Z.________, den Z.________ II und den AB.________ ordnete die Staatsanwaltschaft die Gesellschaften rechtlich unter die Invest- mentgesellschaften mit festem Kapital nach Art. 110 ff. KAG ein, bei welchen es sich gemäss Art. 110 Abs. 1 KAG um Aktiengesellschaften gemäss OR handelt, womit die Beschwerde- führerinnen als Aktionäre der betreffenden Fonds nicht direkt im Sinne von Art. 115 StPO ge- schädigt sind, da die Vermögensanlagen im Eigentum der Gesellschaften stehen und die In- vestoren nur Anteile an der Gesellschaften in Form von Aktien halten. Die Beschwerdeführerinnen machen dazu in der Beschwerdeschrift keine Ausführungen und bestreiten insbesondere die von der Staatsanwaltschaft vorgenommene Einordnung nicht. Sie bemängeln aber, dass die Staatsanwaltschaft den AC.________ als AF.________ mit ei- ner Kommanditgesellschaft für kollektive Kapitalanlagen gemäss Art. 98 ff. KAG vergleicht. Nach Auffassung der Beschwerdeführerinnen könne mit dieser Argumentation eine direkte Schädigung der Beschwerdeführerinnen nicht verneint werden, da Art. 99 KAG auf die Be- stimmungen des Obligationenrechts über die Kommanditgesellschaft verweise und diese im Gegensatz zur Aktiengesellschaft über keine eigene Rechtspersönlichkeit verfüge und keine juristische Person sei. Zutreffend ist zwar, dass die Kommanditgesellschaft keine Rechtspersönlichkeit hat, das Vermögen den Gesellschaftern zur gesamten Hand zusteht und dieses ein Sondervermögen bildet. Zu beachten ist jedoch, dass es sich beim AC.________ um eine AF.________ han- delt. Gemäss Art. 154 Abs. 1 IPRG unterstehen Gesellschaften dem Recht des Staates, nach dessen Vorschriften sie organisiert sind, wenn sie die darin vorgeschriebenen Publizitäts- oder Registrierungsvorschriften dieses Rechts erfüllen oder, falls solche Vorschriften nicht bestehen, wenn sie sich nach dem Recht dieses Staates organisiert haben. Nach AG.________ Recht (Art. 2 AH.________) verfügt die AF.________ über eigene Rechtsper- sönlichkeit. Wie bei den Aktiengesellschaften nach Schweizerischem Recht können folglich</w:t>
      </w:r>
    </w:p>
    <w:p>
      <w:r>
        <w:t>Seite 8/10 die beteiligten Personen nicht im Sinne von Art. 115 StPO direkt geschädigt sein, sondern wären die entsprechenden Verfahrensrechte von den Organen der betreffenden Gesellschaf- ten auszuüben. Die Staatsanwaltschaft hat folglich auch unter diesem Gesichtspunkt den Beschwerdeführerinnen die Privatklägerstellung zu Recht aberkannt.</w:t>
      </w:r>
    </w:p>
    <w:p>
      <w:r>
        <w:rPr>
          <w:b/>
        </w:rPr>
        <w:t>E. 6</w:t>
      </w:r>
    </w:p>
    <w:p>
      <w:r>
        <w:t>Die Beschwerdeführerinnen machen sodann – wie erwähnt – geltend, vorliegend stehe be- züglich der Fondsinvestitionen auch eine mutmasslich arglistige Täuschung im Sinne des Be- trugs im Raum, und nicht bloss eine Verletzung der Vermögensfürsorgepflicht im Sinne einer ungetreuen Geschäftsbesorgung. Die Staatsanwaltschaft habe den Sachverhalt überhaupt nicht untersucht, weshalb sie den Untersuchungsgrundsatz verletze, wenn sie den Tatbe- stand des Betrugs von vornherein ausschliesse (act. 1 Rz 70 ff.).</w:t>
      </w:r>
    </w:p>
    <w:p>
      <w:r>
        <w:rPr>
          <w:b/>
        </w:rPr>
        <w:t>E. 6.1</w:t>
      </w:r>
    </w:p>
    <w:p>
      <w:r>
        <w:t>Mit diesem Einwand sind die Beschwerdeführerinnen nicht zu hören. Die I. Beschwerde- abteilung des Obergerichts hob, wie bereits ausgeführt, mit rechtskräftigem Urteil vom 21. April 2021 die Nichtanhandnahmeverfügung der Staatsanwaltschaft teilweise auf und wies Letztere an, allfällige strafbare Handlungen der Beschuldigten im Zusammenhang mit der Tätigkeit der S.________ als Investment Manager des Z.________, des Z.________ II und des AC.________ insbesondere im Hinblick auf den Tatbestand der ungetreuen Ge- schäftsbesorgung gemäss Art. 158 Ziff. 1 StGB zu untersuchen. Den in der Anzeige eben- falls erhobenen Vorwurf des Betrugs erachtete die I. Beschwerdeabteilung dagegen als of- fenkundig unbegründet. Die Struktur der Fonds und die Höhe der Gebühren seien den Be- schwerdeführerinnen unbestrittenermassen offengelegt worden. Es sei nicht ersichtlich, in- wiefern die Beschuldigten die Beschwerdeführerinnen bzw. P.________ und I.________ getäuscht haben sollten. Das in diesem Zusammenhang geltend gemachte besondere Ver- trauensverhältnis und die besondere Schutzbedürftigkeit von P.________ und I.________ wären nur von Belang im Zusammenhang mit der Arglist der Täuschung. Solange aber eine Täuschung gar nicht erkennbar sei, stelle sich auch die Frage der Arglist nicht. Zudem wider- spreche es jeder Lebenserfahrung, dass geschäftserfahrene Investoren, auch oder gerade wenn sie über ein Milliardenvermögen verfügten, unbesehen Verträge über Investitionen in der geltend gemachten Höhe unterschrieben, und die Beschuldigten auf eine derart fahrläs- sige Handlungsweise spekuliert hätten.</w:t>
      </w:r>
    </w:p>
    <w:p>
      <w:r>
        <w:rPr>
          <w:b/>
        </w:rPr>
        <w:t>E. 6.2</w:t>
      </w:r>
    </w:p>
    <w:p>
      <w:r>
        <w:t>Der Beschwerdeschrift sind zudem keine Hinweise zu entnehmen, welche neue Anhaltspunk- te für ein täuschendes Verhalten der Beschuldigten liefern. Da der entsprechende Vorwurf somit rechtskräftig verneint wurde, ist er nicht mehr Gegenstand des hängigen Untersu- chungsverfahrens. Somit ist auch dem Vorwurf der Beschwerdeführerinnen, die Staatsan- waltschaft habe den Untersuchungsgrundsatz sowie den Grundsatz von Treu und Glauben verletzt, da sie nicht alle für die Beurteilung der Tat und der beschuldigten Personen bedeut- samen Tatsachen abgeklärt habe, die Grundlage entzogen. Die Staatsanwaltschaft hat den Beschwerdeführerinnen die Privatklägerstellung auch unter diesem Gesichtspunkt zu Recht aberkannt.</w:t>
      </w:r>
    </w:p>
    <w:p>
      <w:r>
        <w:rPr>
          <w:b/>
        </w:rPr>
        <w:t>E. 7</w:t>
      </w:r>
    </w:p>
    <w:p>
      <w:r>
        <w:t>Nach dem Gesagten hat es die Staatsanwaltschaft zu Recht abgelehnt, die Beschwerdefüh- rerinnen als Privatklägerinnen zuzulassen. Die Beschwerde erweist sich als unbegründet und ist abzuweisen. Mit dem Entscheid in der Sache wird das Gesuch um aufschiebende Wirkung gegenstandslos.</w:t>
      </w:r>
    </w:p>
    <w:p>
      <w:r>
        <w:t>Seite 9/10</w:t>
      </w:r>
    </w:p>
    <w:p>
      <w:r>
        <w:rPr>
          <w:b/>
        </w:rPr>
        <w:t>E. 8</w:t>
      </w:r>
    </w:p>
    <w:p>
      <w:r>
        <w:t>Bei diesem Ausgang sind die Kosten des Beschwerdeverfahrens den Beschwerdeführerin- nen unter solidarischer Haftbarkeit aufzuerlegen (Art. 428 Abs. 1 StPO; Art. 418 Abs. 2 StPO) und die Beschwerdeführerinnen sind unter solidarsicher Haftbarkeit zu verpflichten, den Beschuldigten, wie von diesen beantragt, eine angemessene Entschädigung für die Kos- ten der anwaltlichen Vertretung im Beschwerdeverfahren zu bezahlen.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