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2 vom 18. Juni 2024</w:t>
      </w:r>
    </w:p>
    <w:p>
      <w:r>
        <w:t>ZG Obergericht, 2024-06-18, DE</w:t>
      </w:r>
    </w:p>
    <w:p>
      <w:r>
        <w:rPr>
          <w:b/>
        </w:rPr>
        <w:t xml:space="preserve">Quelle: </w:t>
      </w:r>
      <w:r>
        <w:t>https://mcp.opencaselaw.ch/entscheid/zg_obergericht_BS_2024_2</w:t>
      </w:r>
    </w:p>
    <w:p>
      <w:r>
        <w:t>FR: ZG_OBERGERICHT BS 2024 2 du 18 juin 2024</w:t>
      </w:r>
    </w:p>
    <w:p>
      <w:r>
        <w:t>IT: ZG_OBERGERICHT BS 2024 2 del 18 giugno 2024</w:t>
      </w:r>
    </w:p>
    <w:p>
      <w:pPr>
        <w:pStyle w:val="Heading2"/>
      </w:pPr>
      <w:r>
        <w:t>Regeste</w:t>
      </w:r>
    </w:p>
    <w:p>
      <w:r>
        <w:t>I. Beschwerdeabteilung</w:t>
      </w:r>
    </w:p>
    <w:p>
      <w:pPr>
        <w:pStyle w:val="Heading2"/>
      </w:pPr>
      <w:r>
        <w:t>Erwägungen</w:t>
      </w:r>
    </w:p>
    <w:p>
      <w:r>
        <w:rPr>
          <w:b/>
        </w:rPr>
        <w:t>E. 1</w:t>
      </w:r>
    </w:p>
    <w:p>
      <w:r>
        <w:t>Wird gegen einen Strafbefehl Einsprache erhoben, so nimmt die Staatsanwaltschaft die weiteren Beweise ab, die zur Beurteilung der Einsprache erforderlich sind (Art. 355 Abs. 1 StPO). Nach Abnahme der Beweise entscheidet die Staatsanwaltschaft, ob sie am Strafbe- fehl festhält, das Verfahren einstellt, einen neuen Strafbefehl erlässt oder Anklage beim erst- instanzlichen Gericht erhebt (Art. 355 Abs. 3 StPO). Entschliesst sich die Staatsanwaltschaft, am Strafbefehl festzuhalten, so überweist sie die Akten unverzüglich dem erstinstanzlichen Gericht zur Durchführung des Hauptverfahrens. Der Strafbefehl gilt als Anklageschrift (Art. 356 Abs. 1 StPO). Ist die Gültigkeit der Einsprache umstritten, entscheidet darüber nicht die Staatsanwaltschaft, sondern das erstinstanzliche Gericht (Art. 356 Abs. 2 StPO; vgl. auch BGE 140 IV 192 E. 1.3). Gemäss Art. 393 Abs. 1 lit. b StPO ist die Beschwerde unter anderem zulässig gegen die Verfügungen der erstinstanzlichen Gerichte.</w:t>
      </w:r>
    </w:p>
    <w:p>
      <w:r>
        <w:rPr>
          <w:b/>
        </w:rPr>
        <w:t>E. 2</w:t>
      </w:r>
    </w:p>
    <w:p>
      <w:r>
        <w:t>Soweit der Beschwerdeführer die Aufhebung des Strafbefehls vom 4. März 2022 (Verfahren 1A 2021 1906) beantragt, ist Folgendes festzuhalten: Der Beschwerdeführer hat gegen die- sen Strafbefehl keine Einsprache erhoben. Entsprechend wurde auch kein Verfahren betref- fend Gültigkeit der Einsprache eröffnet. Soweit der Beschwerdeführer Mängel in diesem Ver- fahren bzw. bei der Eröffnung des Strafbefehls hätte rügen wollen, hätte er dies mit einer Einsprache machen und dabei darlegen müssen, aus welchem Grund die Frist dafür noch nicht abgelaufen ist (vgl. etwa zur Einsprachefrist nach mangelhafter Eröffnung des Strafbe- fehls: Schwarzenegger, in: Donatsch und andere [Hrsg.], Kommentar zur Schweizerischen Strafprozessordnung, 3. A. 2020, Art. 354 StPO N 2). Die Beschwerde steht dafür nicht zur Verfügung. Auf den Antrag gemäss Ziff. 3 der Beschwerde ist somit nicht einzutreten.</w:t>
      </w:r>
    </w:p>
    <w:p>
      <w:r>
        <w:t>Seite 4/7</w:t>
      </w:r>
    </w:p>
    <w:p>
      <w:r>
        <w:rPr>
          <w:b/>
        </w:rPr>
        <w:t>E. 3</w:t>
      </w:r>
    </w:p>
    <w:p>
      <w:r>
        <w:t>Zu prüfen ist im Folgenden, ob die Einzelrichterin am Strafgericht die vom Beschwerdeführer gegen den Strafbefehl vom 7. März 2023 (Verfahren 1A 2022 1965) erhobene Einsprache zu Recht als ungültig erachtet hat</w:t>
      </w:r>
    </w:p>
    <w:p>
      <w:r>
        <w:rPr>
          <w:b/>
        </w:rPr>
        <w:t>E. 3.1</w:t>
      </w:r>
    </w:p>
    <w:p>
      <w:r>
        <w:t>Unbestritten ist, dass der Strafbefehl 1A 2022 1965 der Staatsanwaltschaft vom 7. März 2023 dem Beschwerdeführer per Einschreiben zugestellt wurde, der Beschwerdeführer die Sendung nicht entgegennahm und dem Beschwerdeführer eine Abholfrist bis zum 15. März 2023 gewährt wurde. Diese Frist liess der Beschwerdeführer unbenutzt verstreichen, wes- halb die Post die Sendung an die Staatsanwaltschaft retournierte, wo sie am 22. März 2023 einging. Die Staatsanwaltschaft stellte dem Beschwerdeführer die Sendung gleichentags per A-Post nochmals zu. Eine Einsprache durch den Beschwerdeführer hätte folglich am Montag, 27. März 2023, der Schweizerischen Post übergeben werden müssen (Art. 85 Abs. 4 lit. a und Art. 90 StPO i.V.m. Art. 354 Abs. 1 lit. a StPO). Die Postaufgabe erfolgte aber erst am 29. März 2023 und damit verspätet, wie bereits die Einzelrichterin zu Recht feststellte und worauf an dieser Stelle verwiesen werden kann (Vi act. 15 E. 4.1 ff.).</w:t>
      </w:r>
    </w:p>
    <w:p>
      <w:r>
        <w:rPr>
          <w:b/>
        </w:rPr>
        <w:t>E. 3.2</w:t>
      </w:r>
    </w:p>
    <w:p>
      <w:r>
        <w:t>Der Beschwerdeführer macht dazu in der Beschwerde – wie schon in seiner ergänzenden Eingabe vom 5. April 2023 zur Einsprache an die Staatsanwaltschaft (STA act. 3/9) und in seiner Stellungnahme an die Einzelrichterin am Strafgericht vom 6. Juli 2023 (Vi act. 6) – gel- tend, ihm würden in den Verfahren 1A 2022 1965 und 2A 2021 107 mehrere Straftaten vor- gehalten. Die Staatsanwaltschaft habe aber den Grundsatz der Verfahrenseinheit gemäss Art. 29 StPO nicht beachtet. Eine Verfahrenstrennung gemäss Art. 30 StPO sei nicht ange- ordnet und ihm auch nie mitgeteilt worden. Er habe daher auch nicht von einer solchen aus- gehen müssen, sondern habe sich auf die gesetzliche Regelung der Verfahrenseinheit ver- lassen dürfen. Deswegen habe er auch nicht mit einer Zustellung von Gerichts- oder Staats- anwaltschaftskorrespondenz an ihn gerechnet. Art. 85 Abs. 4 StPO könne nicht zur Anwen- dung gelangen.</w:t>
      </w:r>
    </w:p>
    <w:p>
      <w:r>
        <w:rPr>
          <w:b/>
        </w:rPr>
        <w:t>E. 3.3</w:t>
      </w:r>
    </w:p>
    <w:p>
      <w:r>
        <w:t>Dieser Argumentation kann nicht gefolgt werden: Zwar sieht Art. 29 Abs. 1 lit. StPO als Grundsatz vor, dass Straftaten gemeinsam verfolgt und beurteilt werden, wenn eine beschul- digte Person mehrere Straftaten verübt hat. Auch trifft zu, dass die Staatsanwaltschaft vorlie- gend formell keine Verfahrenstrennung verfügt hat, sondern in den Akten lediglich eine ent- sprechende Notiz enthalten ist (STA act. 13/4). Ob die Staatsanwaltschaft zu Unrecht keine Verfahrenstrennung verfügt hat, kann vorliegend jedoch offengelassen werden. Den Akten lässt sich entnehmen, dass das Verfahren 1A 2022 1965 betreffend Drohung und Wider- handlung gegen das Waffengesetz und das Wirtschaftsstrafverfahren 2A 2021 107 unter ge- trennten Aktenzeichen und von verschiedenen Abteilungen der Staatsanwaltschaft geführt werden. Dem Beschwerdeführer war bekannt, dass bei der Staatsanwaltschaft diese zwei Strafuntersuchungen gegen ihn laufen. Es bestand somit ein Prozessrechtsverhältnis, auf- grund dessen der Beschwerdeführer grundsätzlich jederzeit mit fristauslösenden Verfügun- gen der Staatsanwaltschaft in dem einen wie dem anderen Verfahren zu rechnen hatte. Zu- dem wurde der Beschwerdeführer vor Erlass des Strafbefehls vom 7. März 2023 am 23. Fe- bruar 2023 von der Staatsanwaltschaft darüber informiert, dass im Verfahren 1A 2022 1965 nach Ablauf der Frist zur Stellungnahme am 3. März 2023 eine (unbedingte) Geldstrafe be- treffend die neu begangenen Delikte ausgefällt würde (STA act. 13/7). Spätestens aufgrund dieses Schreibens musste dem Beschwerdeführer klar sein, dass die beiden Verfahren 1A 2022 1965 und 2A 2021 107 voneinander getrennt erledigt werden würden. Er musste</w:t>
      </w:r>
    </w:p>
    <w:p>
      <w:r>
        <w:t>Seite 5/7 daher mit der Zustellung eines entsprechenden Strafbefehls rechnen, weshalb die Zustellfik- tion gemäss Art. 85 Abs. 4 lit. a StPO entgegen seiner Auffassung zum Tragen kommt. Die Einzelrichterin am Strafgericht hat somit zu Recht festgestellt, dass die gegen den Strafbe- fehl der Staatsanwaltschaft des Kantons Zug Nr. 1A 2022 1965 vom 7. März 2023 erhobene Einsprache ungültig und der Strafbefehl Nr. 1A 2022 1965 demzufolge zum rechtskräftigen Urteil geworden ist. Die Beschwerde erweist sich somit auch in diesem Punkt als unbegrün- det und ist abzuweisen.</w:t>
      </w:r>
    </w:p>
    <w:p>
      <w:r>
        <w:rPr>
          <w:b/>
        </w:rPr>
        <w:t>E. 4</w:t>
      </w:r>
    </w:p>
    <w:p>
      <w:r>
        <w:t>Der Beschwerdeführer rügt des Weitern, die Einzelrichterin habe ihm zu Unrecht die amtliche Verteidigung nicht gewährt.</w:t>
      </w:r>
    </w:p>
    <w:p>
      <w:r>
        <w:rPr>
          <w:b/>
        </w:rPr>
        <w:t>E. 4.1</w:t>
      </w:r>
    </w:p>
    <w:p>
      <w:r>
        <w:t>Die Einzelrichterin hielt diesbezüglich in ihrem Entscheid fest, der Beschwerdeführer könne aufgrund seiner finanziellen Verhältnisse bezogen auf den in diesem Verfahren zu erwarten- den Gesamtaufwand von rund fünf Stunden nicht als mittellos bezeichnet werden.</w:t>
      </w:r>
    </w:p>
    <w:p>
      <w:r>
        <w:rPr>
          <w:b/>
        </w:rPr>
        <w:t>E. 4.2</w:t>
      </w:r>
    </w:p>
    <w:p>
      <w:r>
        <w:t>Der Beschwerdeführer hält dem entgegen, er habe der Einzelrichterin einen neuen Betrei- bungsregisterauszug vom 4. Juli 2023 des Betreibungsamtes C.________, in welcher Ge- meinde er seit dem 12. September 2022 Wohnsitz habe, zugestellt. Daraus sei ersichtlich, dass die erste Betreibung vom 28. September 2022 über den Betrag von CHF 106.30 und eine zweite Betreibung vom 15. Dezember 2022 über den Betrag von CHF 299.60 zu Ver- lustscheinen geführt hätten. Dies bedeute, dass er über kein genügendes Einkommen verfü- ge. Er könne nicht einmal kleine Beträge bezahlen, was aufzeige, dass er unter dem Exis- tenzminimum lebe, ansonsten diese Beträge mit einer Lohnpfändung hätten bezahlt werden können. Zudem hätten schon am 15. November 2022 Schulden von rund CHF 200'000.00 bestanden.</w:t>
      </w:r>
    </w:p>
    <w:p>
      <w:r>
        <w:rPr>
          <w:b/>
        </w:rPr>
        <w:t>E. 4.3</w:t>
      </w:r>
    </w:p>
    <w:p>
      <w:r>
        <w:t>Liegt kein Fall notwendiger Verteidigung gemäss Art. 130 StPO vor, ordnet die Verfahrens- leitung eine amtliche Verteidigung an, wenn die beschuldigte Person nicht über die erforder- lichen Mittel verfügt und die Verteidigung zur Wahrung ihrer Interessen geboten ist (Art. 132 Abs. 1 lit. b StPO). Mittellosigkeit oder Bedürftigkeit ist nach der bundesgerichtlichen Rechtsprechung dann ge- geben, wenn die beschuldigte Person die Leistung der erforderlichen Prozess- und Partei- kosten nur erbringen kann, wenn sie die Mittel angreift, die sie zur Deckung des Grundbe- darfs für sich und ihre Familie benötigt. Die prozessuale Bedürftigkeit beurteilt sich nach der gesamten wirtschaftlichen Situation im Zeitpunkt der Einreichung des Gesuchs. Dazu gehören einerseits sämtliche finanzielle Verpflichtungen, andererseits die Einkommens- und Vermögensverhältnisse, wobei die Anrechnung eines hypothetischen Einkommens unzuläs- sig ist. Dabei ist der Begriff der Bedürftigkeit nicht deckungsgleich mit jenem nach SchKG und ist nicht schematisch auf das betreibungsrechtliche Existenzminimum abzustellen, son- dern die beschuldigte Person hat Anspruch darauf, dass ihr der erweiterte zivilprozessuale Notbedarf verbleibt. Dieser umfasst i.d.R. einen um 25 % erhöhten Grundbedarf zuzüglich der ausgewiesenen privat- und öffentlich-rechtlichen Verpflichtungen (Ruckstuhl, Basler Kommentar, 3. A. 2023, Art. 132 StPO N 23 m.H.). Schulden sind sodann zumindest dann zu berücksichtigen, wenn diese zur Bestreitung des Lebensunterhalts eingegangen worden sind (vgl. Urteil des Bundesgerichts 8C_745/2010 vom 4. April 2011 E. 8.5).</w:t>
      </w:r>
    </w:p>
    <w:p>
      <w:r>
        <w:t>Seite 6/7</w:t>
      </w:r>
    </w:p>
    <w:p>
      <w:r>
        <w:rPr>
          <w:b/>
        </w:rPr>
        <w:t>E. 4.4</w:t>
      </w:r>
    </w:p>
    <w:p>
      <w:r>
        <w:t>Der Beschwerdeführer gab an der Einvernahme bei der Kantonspolizei F.________ vom 15. November 2022 an, selbständig zu sein und pro Monat ca. CHF 5'000.00 zu verdienen. Seine Ehefrau erziele ein monatliches Einkommen von ca. CHF 3'900.00. Dazu komme ein 13. Monatslohn. Beim Betreibungsamt habe er Schulden von CHF 199'000.00 (STA act. 2/16 Ziff. 99 ff.). Daraus schloss die Einzelrichterin auf ein monatliches Familieneinkommen von netto CHF 9'225.00 und verneinte gestützt darauf trotz Vorliegens von Verlustscheinen in der Höhe von CHF 2'801.45 eine Mittellosigkeit des Beschwerdeführers.</w:t>
      </w:r>
    </w:p>
    <w:p>
      <w:r>
        <w:rPr>
          <w:b/>
        </w:rPr>
        <w:t>E. 4.5</w:t>
      </w:r>
    </w:p>
    <w:p>
      <w:r>
        <w:t>Der Beschwerdeführer macht in der Beschwerdeschrift nicht geltend, dass sich seine Ein- kommenssituation bzw. diejenige seiner Ehefrau seit der Befragung vom 15. November 2022 verändert hat. Er begründet seine angebliche Bedürftigkeit einzig damit, dass zwei Betrei- bungen zu Verlustscheinen geführt hätten. Dem Betreibungsregisterauszug des Betrei- bungsamtes C.________ (Vi act. 6/1) lässt sich entnehmen, dass die beiden Verlustscheine aus dem Jahr 2022 stammen, mithin zu einem Zeitpunkt, als dem Beschwerdeführer ein Fa- milieneinkommen von netto CHF 9'225.00 pro Monat zur Verfügung stand. Es wäre Sache des Beschwerdeführers aufzuzeigen, weshalb er trotz dieses Einkommens nicht in der Lage war, Rechnungen in der Höhe von CHF 106.30 und CHF 299.60 zu bezahlen. Entsprechen- de Angaben dazu fehlen jedoch gänzlich. Darüber hinaus legt der Beschwerdeführer auch nicht dar, dass er die (behaupteten) Schulden von rund CHF 200'000.00 zur Bestreitung sei- nes Lebensunterhaltes bzw. desjenigen seiner Familie eingegangen ist. Ebenso wenig bringt er vor, dass entsprechende Abzahlungsvereinbarungen bestehen. Die geltend gemachten Schulden sind daher nicht zu berücksichtigen. Die Einzelrichterin am Strafgericht hat daher die Bedürftigkeit des Beschwerdeführers zu Recht verneint und aus diesem Grund das Ge- such um amtliche Verteidigung abgewiesen. Unter diesen Umständen kann offengelassen werden, ob die Verteidigung zur Wahrung der Interessen des Beschwerdeführers geboten war.</w:t>
      </w:r>
    </w:p>
    <w:p>
      <w:r>
        <w:rPr>
          <w:b/>
        </w:rPr>
        <w:t>E. 5</w:t>
      </w:r>
    </w:p>
    <w:p>
      <w:r>
        <w:t>Der Beschwerdeführer hat auch im vorliegenden Verfahren keine zusätzlichen Ausführungen zu seinen finanziellen Verhältnissen gemacht bzw. Belege zum Nachweis seiner Bedürftig- keit eingereicht. Das Gesuch um Bewilligung der amtlichen Verteidigung ist folglich auch für das Beschwerdeverfahren abzuweisen. Im Übrigen wäre das Gesuch auch zufolge Aus- sichtslosigkeit der Beschwerde abzuweisen gewesen. Zuständig für diesen Entscheid ist die Verfahrensleitung der Beschwerdeabteilung (Art. 388 Abs. 1 lit. c StPO i.V.m. Art. 61 lit. c StPO).</w:t>
      </w:r>
    </w:p>
    <w:p>
      <w:r>
        <w:rPr>
          <w:b/>
        </w:rPr>
        <w:t>E. 6</w:t>
      </w:r>
    </w:p>
    <w:p>
      <w:r>
        <w:t>Bei diesem Ausgang sind die Kosten des Beschwerdeverfahrens dem Beschwerdeführer aufzuerlegen (Art. 428 Abs. 1 StPO).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