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93 vom 9. Januar 2024</w:t>
      </w:r>
    </w:p>
    <w:p>
      <w:r>
        <w:t>ZG Obergericht, 2024-01-09, DE</w:t>
      </w:r>
    </w:p>
    <w:p>
      <w:r>
        <w:rPr>
          <w:b/>
        </w:rPr>
        <w:t xml:space="preserve">Quelle: </w:t>
      </w:r>
      <w:r>
        <w:t>https://mcp.opencaselaw.ch/entscheid/zg_obergericht_BS_2023_93</w:t>
      </w:r>
    </w:p>
    <w:p>
      <w:r>
        <w:t>FR: ZG_OBERGERICHT BS 2023 93 du 9 janvier 2024</w:t>
      </w:r>
    </w:p>
    <w:p>
      <w:r>
        <w:t>IT: ZG_OBERGERICHT BS 2023 93 del 9 gennaio 2024</w:t>
      </w:r>
    </w:p>
    <w:p>
      <w:pPr>
        <w:pStyle w:val="Heading2"/>
      </w:pPr>
      <w:r>
        <w:t>Regeste</w:t>
      </w:r>
    </w:p>
    <w:p>
      <w:r>
        <w:t>I. Beschwerdeabteilung</w:t>
      </w:r>
    </w:p>
    <w:p>
      <w:pPr>
        <w:pStyle w:val="Heading2"/>
      </w:pPr>
      <w:r>
        <w:t>Erwägungen</w:t>
      </w:r>
    </w:p>
    <w:p>
      <w:r>
        <w:rPr>
          <w:b/>
        </w:rPr>
        <w:t>E. 1</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konkre- 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6B_700/2020 des Bundesgerichts vom 17. August 2021 E. 3.3 mit Hinweisen).</w:t>
      </w:r>
    </w:p>
    <w:p>
      <w:r>
        <w:rPr>
          <w:b/>
        </w:rPr>
        <w:t>E. 2</w:t>
      </w:r>
    </w:p>
    <w:p>
      <w:r>
        <w:t>Die Staatsanwaltschaft begründete die Nichtanhandnahme der Strafuntersuchung wegen Be- trugs wie folgt: Dieses Delikt werde gemäss Art. 146 Abs. 1 StGB mit Freiheitsstrafe bis zu fünf Jahren oder Geldstrafe bestraft. Nach Art. 97 Abs. 1 lit. b StGB verjähre die Strafverfol- gung in 15 Jahren, wenn die für die Tat angedrohte Höchststrafe drei Jahre übersteige. Nach Art. 98 lit. b StGB beginne die Verjährung, wenn der Täter die strafbare Tätigkeit zu ver- schiedenen Zeiten ausführe, mit dem Tag, an dem er die letzte Tätigkeit ausführe. Gemäss den Angaben des Anzeigeerstatters seien die Darlehen an den Beschuldigten im Jahre 1996, spätestens aber im Jahre 1997 gewährt worden. Der Verjährungsbeginn liege somit mindes- tens 26 Jahre zurück. Folglich sei eine allfällige Strafverfolgung wegen Betrugs spätestens seit Ende 2012 verjährt. Die Verjährung stelle ein absolutes Prozesshindernis dar, weshalb eine Strafverfolgung wegen Betrugs nicht mehr an die Hand genommen werden könne.</w:t>
      </w:r>
    </w:p>
    <w:p>
      <w:r>
        <w:t>Seite 4/7</w:t>
      </w:r>
    </w:p>
    <w:p>
      <w:r>
        <w:rPr>
          <w:b/>
        </w:rPr>
        <w:t>E. 3</w:t>
      </w:r>
    </w:p>
    <w:p>
      <w:r>
        <w:t>Dem hält der Beschwerdeführer entgegen, beim Tatbestand des Betrugs handle es sich um ein Dauerdelikt. Bei diesen Delikten beginne die Verjährung mit dem Tag, an dem das straf- bare Verhalten aufhöre (Art. 98 lit. c StGB). Auch wenn die Darlehensgewährung mehr als 20 oder 30 Jahre zurückliege, dauere das strafbare Verhalten noch an, indem der Beschuldigte auch heute noch wahrheitswidrig über seine Vertreter ausführen lasse, er werde die Forde- rung begleichen. Der zur Anzeige gebrachte Tatvorwurf sei daher noch nicht verjährt, wes- halb das Strafverfahren wegen Betrugs an die Hand zu nehmen sei.</w:t>
      </w:r>
    </w:p>
    <w:p>
      <w:r>
        <w:rPr>
          <w:b/>
        </w:rPr>
        <w:t>E. 4</w:t>
      </w:r>
    </w:p>
    <w:p>
      <w:r>
        <w:t>A. 2019, Art. 98 StGB N 5).</w:t>
      </w:r>
    </w:p>
    <w:p>
      <w:r>
        <w:rPr>
          <w:b/>
        </w:rPr>
        <w:t>E. 4.1</w:t>
      </w:r>
    </w:p>
    <w:p>
      <w:r>
        <w:t>Beim Tatbestand des Betrugs besteht die Tathandlung in einem irreführenden Verhalten des Täters. Der Täter bewirkt oder verstärkt beim Geschädigten durch arglistiges Vorspiegeln oder Unterdrücken von Tatsachen einen Irrtum und bestimmt den Getäuschten zu einer Vermögensdisposition. Der Betrug ist mit Eintritt des Vermögensschadens vollendet und mit Eintritt der Bereicherung beendet (Urteil des Bundesgerichts 6B_295/2019 vom 8. August 2019 E. 1.4 mit Hinweisen; ferner Urteil des Bundesgerichts 6B_97/2019 vom 6. November 2019 E. 2.1.2). Beim Tatbestand des Betrugs gemäss Art. 146 StGB handelt es sich um ein Erfolgsdelikt und nicht um ein Dauerdelikt (BGE 133 IV 256 E.4.3.3; BGE 125 IV 177 E. 2). Bei den Erfolgsdelikten ist für den Beginn des Fristenlaufs der Verfolgungsverjährung stets der Zeitpunkt der tatbestandsmässigen Handlung und nicht derjenige des Eintritts des zur Vollendung des Deliktes erforderlichen Erfolgs massgebend (Zurbrügg, Basler Kommentar,</w:t>
      </w:r>
    </w:p>
    <w:p>
      <w:r>
        <w:rPr>
          <w:b/>
        </w:rPr>
        <w:t>E. 4.2</w:t>
      </w:r>
    </w:p>
    <w:p>
      <w:r>
        <w:t>Vorliegend gewährte der Beschwerdeführer dem Beschuldigten die Darlehen im Jahr 1996, allenfalls im Jahr 1997. In dieser Zeit fanden mithin die allfälligen Betrugshandlungen statt. Die Verfolgungsverjährung begann somit spätestens im Jahre 1997 zu laufen. Die 15-jährige Verjährungsfrist war somit zum Zeitpunkt der Anzeigeerstattung im August 2023 längst abge- laufen. Die Staatsanwaltschaft hat die Anzeige wegen Betrugs daher zu Recht infolge Ver- jährung nicht an die Hand genommen.</w:t>
      </w:r>
    </w:p>
    <w:p>
      <w:r>
        <w:rPr>
          <w:b/>
        </w:rPr>
        <w:t>E. 4.3</w:t>
      </w:r>
    </w:p>
    <w:p>
      <w:r>
        <w:t>War der Tatbestand des Betrugs im Zeitpunkt der Anzeigeerstattung verjährt, gilt dies auch für den gegenüber der Ehefrau des Beschuldigten erhobenen Vorwurf der Gehilfenschaft zum Betrug. Abgesehen davon ist ohnehin nicht nachvollziehbar, worin die Gehilfenschaft zum Betrug liegen soll, wenn die Ehefrau des Beschuldigten diesen – wie der Beschwerde- führer geltend macht – nach der Gewährung der Darlehen bei sich leben liess und für ihn Fahrzeuge mietete, um den Anschein, der Beschuldigte sei ein erfolgreicher Unternehmer, zu wahren.</w:t>
      </w:r>
    </w:p>
    <w:p>
      <w:r>
        <w:rPr>
          <w:b/>
        </w:rPr>
        <w:t>E. 5</w:t>
      </w:r>
    </w:p>
    <w:p>
      <w:r>
        <w:t>Zu prüfen bleibt der Tatbestand des Pfändungsbetrugs.</w:t>
      </w:r>
    </w:p>
    <w:p>
      <w:r>
        <w:rPr>
          <w:b/>
        </w:rPr>
        <w:t>E. 5.1</w:t>
      </w:r>
    </w:p>
    <w:p>
      <w:r>
        <w:t>Des Pfändungsbetrugs gemäss Art. 163 Ziff. 1 StGB macht sich der Schuldner strafbar, der zum Schaden der Gläubiger sein Vermögen zum Scheine vermindert, namentlich Vermö-</w:t>
      </w:r>
    </w:p>
    <w:p>
      <w:r>
        <w:t>Seite 5/7 genswerte beiseiteschafft oder verheimlicht, Schulden vortäuscht, vorgetäuschte Forderun- gen anerkennt oder deren Geltendmachung veranlasst, wenn gegen ihn ein Verlustschein ausgestellt wird.</w:t>
      </w:r>
    </w:p>
    <w:p>
      <w:r>
        <w:rPr>
          <w:b/>
        </w:rPr>
        <w:t>E. 5.2</w:t>
      </w:r>
    </w:p>
    <w:p>
      <w:r>
        <w:t>Durch die Tathandlungen wird direkt in das der Zwangsvollstreckung unterliegende Vermö- gen des Schuldners eingegriffen. Der Begriff des Vermögens resp. des Vermögenswertes er- fasst Sachen sowie Rechte und Forderungen gleichermassen. Taugliches Tatobjekt ist das schuldnerische Vermögen nur insoweit, als es der Befriedigung der Gläubiger im Zwangs- vollstreckungsverfahren dienen soll. Als Vermögensverminderung im Sinne von Art. 163 StGB gilt die scheinbare Verminderung der Aktiven oder die scheinbare Erhöhung der Passi- ven. Nach der herrschenden Lehre und Rechtsprechung erfüllt die Funktion der objektiven Strafbarkeitsbedingung nicht nur der definitive, sondern auch der provisorische Verlustschein (Hagenstein, Basler Kommentar, 4. A. 2019, Art. 163 StGB N 10 f., N 18 und Vor Art. 163- 171bis StGB N 18).</w:t>
      </w:r>
    </w:p>
    <w:p>
      <w:r>
        <w:rPr>
          <w:b/>
        </w:rPr>
        <w:t>E. 5.3</w:t>
      </w:r>
    </w:p>
    <w:p>
      <w:r>
        <w:t>Der Beschwerdeführer wirft dem Beschuldigten vor, gegenüber dem Betreibungsamt Risch angegeben zu haben, dass er in einem möblierten Zimmer an der E.________ in G.________ wohnhaft sei, obwohl er faktisch bei seiner Ehefrau wohne. Aufgrund dieser Tatsache sei das Existenzminimum falsch berechnet worden, indem statt des hälftigen Grundbetrags von CHF 850.00 für Ehegatten der Grundbetrag von CHF 1'200.00 für einen alleinstehenden Schuldner veranschlagt worden sei.</w:t>
      </w:r>
    </w:p>
    <w:p>
      <w:r>
        <w:rPr>
          <w:b/>
        </w:rPr>
        <w:t>E. 5.3.1</w:t>
      </w:r>
    </w:p>
    <w:p>
      <w:r>
        <w:t>Eine solche Falschangabe stellt allerdings keine Vermögensverminderung im Sinne von Art. 163 StGB dar. Weder wurden damit die Aktiven des Beschuldigen zum Schein vermin- dert noch die Passiven zum Schein erhöht. Es ist bereits aus diesem Grund fraglich, ob der Beschuldigte mit der ihm vorgeworfenen Falschangabe den Tatbestand des Pfändungsbe- trugs in objektiver Hinsicht erfüllt haben könnte.</w:t>
      </w:r>
    </w:p>
    <w:p>
      <w:r>
        <w:rPr>
          <w:b/>
        </w:rPr>
        <w:t>E. 5.3.2</w:t>
      </w:r>
    </w:p>
    <w:p>
      <w:r>
        <w:t>Hinzu kommt, dass es sich beim Vorwurf, der Beschuldigte sei entgegen seiner Darstellung nicht in einem möblierten Zimmer in G.________, sondern bei seiner Ehefrau wohnhaft, um eine blosse Behauptung handelt. Die Abklärungen des Betreibungsamtes Risch in der Be- treibung Nr. F.________ haben nämlich ergeben, dass der – von seiner Ehefrau gerichtlich getrennte – Beschuldigte tatsächlich im möblierten Zimmer an der E.________ in G.________ wohnhaft ist. So ist er seit rund 30 Jahren in G.________ gemeldet und legte dem Betreibungsamt im Rahmen der Pfändung den Mietvertrag über dieses Zimmer vor und belegte urkundlich, dass er hierfür Miete entrichtet. Schliesslich konnte das Betreibungsamt das Zimmer des Beschuldigten in Anwesenheit seines Vermieters besichtigen (vgl. zum Ganzen Urteil des Obergerichts Zug BA 2023 65 vom heutigen Tag). Damit fehlt es offen- kundig an einer plausiblen Tatsachengrundlage für den vom Beschwerdeführer erhobenen Vorwurf. Es ist daher nicht zu beanstanden, dass die Staatsanwaltschaft das Verfahren in diesem Punkt ebenfalls nicht an die Hand genommen hat.</w:t>
      </w:r>
    </w:p>
    <w:p>
      <w:r>
        <w:rPr>
          <w:b/>
        </w:rPr>
        <w:t>E. 6</w:t>
      </w:r>
    </w:p>
    <w:p>
      <w:r>
        <w:t>Schliesslich wirft der Beschwerdeführer dem Beschuldigte vor, sich der mehrfachen Urkun- denfälschung schuldig gemacht zu haben. Er macht geltend, der im Betreibungsverfahren eingereichte Vertrag über die Miete des möblierten Zimmers in G.________ sei unwahr. Zu- dem habe der Beschuldigte veranlasst, dass H.________, Angestellter des Notariats I.________, mit Eingabe vom 3. April 2023 gegenüber dem Betreibungsamt Risch die wahr-</w:t>
      </w:r>
    </w:p>
    <w:p>
      <w:r>
        <w:t>Seite 6/7 heitswidrige Bestätigung abgegeben habe, dass der Beschuldigte auf seinem vom Notariat I.________ geführten Treuhandkonto noch diese Woche einen Geldeingang erwarte und in der Folge der bereits erfasste Zahlungsauftrag zugunsten des Betreibungsamtes über CHF 482'000.00 automatisch ausgeführt werde (Vi act. 1/57).</w:t>
      </w:r>
    </w:p>
    <w:p>
      <w:r>
        <w:rPr>
          <w:b/>
        </w:rPr>
        <w:t>E. 6.1</w:t>
      </w:r>
    </w:p>
    <w:p>
      <w:r>
        <w:t>Der Urkundenfälschung gemäss Art. 251 Ziff. 1 Abs. 1 und 2 StGB macht sich u.a. schuldig, wer in der Absicht, jemanden am Vermögen oder an andern Rechten zu schädigen oder sich oder einem andern einen unrechtmässigen Vorteil zu verschaffen, eine Urkunde verfälscht oder eine rechtlich erhebliche Tatsache unrichtig beurkunden lässt. Das unrichtige Beurkun- den einer rechtlich erheblichen Tatsache, d.h. das Falschbeurkunden bedeutet das Errichten einer echten, aber unwahren Urkunde, bei welcher der wirkliche und der in der Urkunde ent- haltene Sachverhalt nicht übereinstimmen. Nach der neueren bundesgerichtlichen Recht- sprechung bezieht sich der Beweis auf die Wahrheit der Äusserung und ist mithin der Tatbe- stand der Falschbeurkundung erfüllt, wenn der Urkunde eine gegenüber der gewöhnlichen schriftlichen Erklärung erhöhte, ein besonderes Vertrauen begründete Glaubwürdigkeit zu- kommt. Eine solche liegt vor, wenn allgemeingültige, objektive Garantien die Wahrheit der Erklärung gegenüber Dritten gewährleisten, was u.a. etwa bei der Prüfungspflicht einer Ur- kundsperson oder bei gesetzlichen Vorschriften der Fall ist, die, wie etwa die Bilanzvorschrif- ten der Art. 957a ff. OR, gerade den Inhalt bestimmter Schriftstücke näher festlegen. Blosse Erfahrungsregeln hinsichtlich der Glaubwürdigkeit irgendwelcher schriftlicher Äusserungen genügen indessen nicht, mögen sie auch zur Folge haben, dass sich der Geschäftsverkehr in gewissem Umfang auf entsprechende Angaben verlässt (Boog, Basler Kommentar, 4.A. 2019, Art. 251 StGB N 64 u. 84).</w:t>
      </w:r>
    </w:p>
    <w:p>
      <w:r>
        <w:rPr>
          <w:b/>
        </w:rPr>
        <w:t>E. 6.2</w:t>
      </w:r>
    </w:p>
    <w:p>
      <w:r>
        <w:t>Nach der Rechtsprechung des Bundesgerichts liegt beim simulierten Vertrag keine Falsch- beurkundung vor, da die einfach-schriftliche Vertragsurkunde – auch bei gesetzlich vorge- schriebener Schriftform – grundsätzlich nicht beweist, dass die übereinstimmend abgegebe- nen Erklärungen dem wirklichen Willen entsprechen (Boog, a.a.O., Art. 251 StGB N 156). Soweit der Beschwerdeführer geltend macht, der Mietvertrag über das möblierte Zimmer sei unwahr bzw. simuliert, vermag er damit den Vorwurf der Falschbeurkundung von vornherein nicht zu begründen.</w:t>
      </w:r>
    </w:p>
    <w:p>
      <w:r>
        <w:rPr>
          <w:b/>
        </w:rPr>
        <w:t>E. 6.3</w:t>
      </w:r>
    </w:p>
    <w:p>
      <w:r>
        <w:t>Ferner liegt auch in der Bestätigung des Notariats I.________ vom 3. April 2023 keine Falschbeurkundung des Beschuldigten. Für den Wahrheitsgehalt seiner darin wiedergegebe- nen Aussage, wonach er auf seinem vom Notariat geführten Treuhandkonto noch diese Wo- che einen Geldeingang erwarte, bestehen keine allgemeingültigen, objektiven Garantien. Dem Beschuldigten kann daher nicht vorgeworfen werden, er habe eine rechtlich erhebliche Tatsache unrichtig beurkunden lassen.</w:t>
      </w:r>
    </w:p>
    <w:p>
      <w:r>
        <w:rPr>
          <w:b/>
        </w:rPr>
        <w:t>E. 6.4</w:t>
      </w:r>
    </w:p>
    <w:p>
      <w:r>
        <w:t>Irrelevant ist schliesslich, dass das Notariatsbüro versprochen hat, die eingegangene Zah- lung aufgrund des bereits bestehenden Zahlungsauftrags an das Betreibungsamt weiterzulei- ten. So richtet sich der Vorwurf der Falschbeurkundung nicht gegen den Notariatsangestell- ten, der diesen Passus verfasst hat, sondern gegen den Beschuldigten, der erklärte, es wer- de noch diese Woche Geld auf das fragliche Treuhandkonto einbezahlt.</w:t>
      </w:r>
    </w:p>
    <w:p>
      <w:r>
        <w:rPr>
          <w:b/>
        </w:rPr>
        <w:t>E. 6.5</w:t>
      </w:r>
    </w:p>
    <w:p>
      <w:r>
        <w:t>Zusammenfassend bestehen mithin auch keine Anhaltspunkte für die dem Beschuldigten vorgeworfenen Urkundendelikte.</w:t>
      </w:r>
    </w:p>
    <w:p>
      <w:r>
        <w:t>Seite 7/7</w:t>
      </w:r>
    </w:p>
    <w:p>
      <w:r>
        <w:rPr>
          <w:b/>
        </w:rPr>
        <w:t>E. 7</w:t>
      </w:r>
    </w:p>
    <w:p>
      <w:r>
        <w:t>Nach dem Gesagten hat die Staatsanwaltschaft die Strafuntersuchung gegen den Beschul- digten zu Recht nicht an die Hand genommen. Die Beschwerde erweist sich somit als unbe- gründet und ist abzuweisen. Bei diesem Ausgang sind die Kosten des Beschwerdeverfahrens dem Beschwerdeführer aufzuerlegen. Eine Parteientschädigung ist dem Beschuldigten nicht zuzusprechen, da die- sem im Zusammenhang mit dem Beschwerdeverfahren keine nennenswerten Umtriebe ent- standen sind.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