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87 vom 7. November 2023</w:t>
      </w:r>
    </w:p>
    <w:p>
      <w:r>
        <w:t>ZG Obergericht, 2023-11-07, DE</w:t>
      </w:r>
    </w:p>
    <w:p>
      <w:r>
        <w:rPr>
          <w:b/>
        </w:rPr>
        <w:t xml:space="preserve">Quelle: </w:t>
      </w:r>
      <w:r>
        <w:t>https://mcp.opencaselaw.ch/entscheid/zg_obergericht_BS_2023_87</w:t>
      </w:r>
    </w:p>
    <w:p>
      <w:r>
        <w:t>FR: ZG_OBERGERICHT BS 2023 87 du 7 novembre 2023</w:t>
      </w:r>
    </w:p>
    <w:p>
      <w:r>
        <w:t>IT: ZG_OBERGERICHT BS 2023 87 del 7 novembre 2023</w:t>
      </w:r>
    </w:p>
    <w:p>
      <w:pPr>
        <w:pStyle w:val="Heading2"/>
      </w:pPr>
      <w:r>
        <w:t>Regeste</w:t>
      </w:r>
    </w:p>
    <w:p>
      <w:r>
        <w:t>I. Beschwerdeabteilung</w:t>
      </w:r>
    </w:p>
    <w:p>
      <w:pPr>
        <w:pStyle w:val="Heading2"/>
      </w:pPr>
      <w:r>
        <w:t>Erwägungen</w:t>
      </w:r>
    </w:p>
    <w:p>
      <w:r>
        <w:rPr>
          <w:b/>
        </w:rPr>
        <w:t>E. 1</w:t>
      </w:r>
    </w:p>
    <w:p>
      <w:r>
        <w:t>Mit Strafbefehl der Staatsanwaltschaft des Kantons Zug vom 18. August 2021 wurde A.________ der vorsätzlichen Verletzung der Einreisevorschriften gemäss Art. 115 Abs. 1 lit. a i.V.m. Art. 5 Abs. 1 lit. a AIG schuldig gesprochen und mit einer Geldstrafe von 40 Tagessätzen zu CHF 30.00 bestraft, wovon zwei Tage als durch vorläufige Festnahme geleistet gelten. Der Vollzug der Geldstrafe wurde unter Ansetzung einer Probezeit von drei Jahren aufgeschoben. Anlässlich der Aushändigung des Strafbefehls unterzeichnete A.________ gleichentags eine Empfangsbestätigung sowie eine Erklärung, dass er auf eine Einsprache gegen den Strafbe- fehl verzichte und der Strafbefehl damit sofort zum rechtskräftigen und vollstreckbaren Urteil werde. Diese Erklärung war in deutscher Sprache verfasst und enthielt zudem eine Bestäti- gung des einvernehmenden Polizeibeamten, wonach er den Strafbefehl für den Beschuldig- ten korrekt übersetzt habe.</w:t>
      </w:r>
    </w:p>
    <w:p>
      <w:r>
        <w:rPr>
          <w:b/>
        </w:rPr>
        <w:t>E. 2</w:t>
      </w:r>
    </w:p>
    <w:p>
      <w:r>
        <w:t>Gegen diesen Strafbefehl erhob A.________ am 23. August 2021 schriftlich Einsprache. Mit Verfügung vom 5. Oktober 2021 überwies die Staatsanwaltschaft die Akten dem Einzelrichter am Strafgericht zur Beurteilung der Gültigkeit der Einsprache.</w:t>
      </w:r>
    </w:p>
    <w:p>
      <w:r>
        <w:rPr>
          <w:b/>
        </w:rPr>
        <w:t>E. 3</w:t>
      </w:r>
    </w:p>
    <w:p>
      <w:r>
        <w:t>Mit Verfügung vom 27. Januar 2022 stellte der Einzelrichter am Strafgericht fest, dass der Strafbefehl Nr. 1A 2021 1376 der Staatsanwaltschaft gültig und die von A.________ dagegen erhobene Einsprache ungültig sei. Das gerichtliche Verfahren SE 2021 53 wurde als erledigt vom Protokoll abgeschrieben und die Verfahrenskosten wurden A.________ auferlegt.</w:t>
      </w:r>
    </w:p>
    <w:p>
      <w:r>
        <w:rPr>
          <w:b/>
        </w:rPr>
        <w:t>E. 4</w:t>
      </w:r>
    </w:p>
    <w:p>
      <w:r>
        <w:t>Die von A.________ (nachfolgend: Beschwerdeführer) dagegen erhobene Beschwerde vom</w:t>
      </w:r>
    </w:p>
    <w:p>
      <w:r>
        <w:rPr>
          <w:b/>
        </w:rPr>
        <w:t>E. 7</w:t>
      </w:r>
    </w:p>
    <w:p>
      <w:r>
        <w:t>An diesen Entscheid ist das Obergericht gebunden (vgl. zur Bindungswirkung bundesgericht- licher Rückweisungsentscheide: BGE 143 IV 214 E. 5.3.3 m.w.H.). Dies bedeutet, dass die Einsprache des Beschwerdeführers gegen den Strafbefehl vom 18. August 2021 gültig er- folgt ist und die Staatsanwaltschaft das Verfahren gemäss Art. 355 StPO weiterzuführen hat. Dementsprechend ist die Verfügung des Einzelrichters am Strafgericht vom 27. Januar 2022 aufzuheben und es ist festzustellen, dass die Einsprache des Beschwerdeführers gegen den Strafbefehl Nr. 1A 2021 1376 der Staatsanwaltschaft des Kantons Zug vom 18. August 2021 gültig ist.</w:t>
      </w:r>
    </w:p>
    <w:p>
      <w:r>
        <w:rPr>
          <w:b/>
        </w:rPr>
        <w:t>E. 8</w:t>
      </w:r>
    </w:p>
    <w:p>
      <w:r>
        <w:t>Bei diesem Ausgang sind die Kosten des Beschwerdeverfahrens wie auch des Verfahrens vor dem Einzelrichter am Strafgericht auf die Staatskasse zu nehmen (Art. 428 Abs. 4 StPO) und der Beschwerdeführer ist für die notwendigen Aufwendungen in beiden Verfahren aus der Staatskasse zu entschädigen (Art. 436 Abs. 3 StPO). In ihrer Honorarnote vom 7. Febru- ar 2022 bezifferte die Rechtsvertreterin des Beschwerdeführers ihren Stundenaufwand für die Zeit ab 6. September 2021 auf 14,65 Stunden. Davon sind 4,5 Stunden für die Beschwer- de an das Obergericht betreffend amtliche Verteidigung abzuziehen, da der Beschwerde- führer in jenem Verfahren unterlegen ist. Somit verbleiben 10,15 Stunden zu CHF 220.00, was unter Berücksichtigung der Auslagen von CHF 28.20 und der Mehrwertsteuer eine Ent- schädigung von CHF 2'435.30 ergibt. Damit wird das Gesuch des Beschwerdeführers um unentgeltliche Rechtspflege für das Be- schwerdeverfahren gegenstandslos.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