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21 vom 21. März 2024</w:t>
      </w:r>
    </w:p>
    <w:p>
      <w:r>
        <w:t>ZG Obergericht, 2024-03-21, DE</w:t>
      </w:r>
    </w:p>
    <w:p>
      <w:r>
        <w:rPr>
          <w:b/>
        </w:rPr>
        <w:t xml:space="preserve">Quelle: </w:t>
      </w:r>
      <w:r>
        <w:t>https://mcp.opencaselaw.ch/entscheid/zg_obergericht_BS_2023_21</w:t>
      </w:r>
    </w:p>
    <w:p>
      <w:r>
        <w:t>FR: ZG_OBERGERICHT BS 2023 21 du 21 mars 2024</w:t>
      </w:r>
    </w:p>
    <w:p>
      <w:r>
        <w:t>IT: ZG_OBERGERICHT BS 2023 21 del 21 marzo 2024</w:t>
      </w:r>
    </w:p>
    <w:p>
      <w:pPr>
        <w:pStyle w:val="Heading2"/>
      </w:pPr>
      <w:r>
        <w:t>Regeste</w:t>
      </w:r>
    </w:p>
    <w:p>
      <w:r>
        <w:t>I. Beschwerdeabteilung</w:t>
      </w:r>
    </w:p>
    <w:p>
      <w:pPr>
        <w:pStyle w:val="Heading2"/>
      </w:pPr>
      <w:r>
        <w:t>Erwägungen</w:t>
      </w:r>
    </w:p>
    <w:p>
      <w:r>
        <w:rPr>
          <w:b/>
        </w:rPr>
        <w:t>E. 1</w:t>
      </w:r>
    </w:p>
    <w:p>
      <w:r>
        <w:t>Der Antrag von Rechtsanwalt L.________ und der Staatsanwaltschaft auf Vereinigung der Beschwerdeverfahren ist abzuweisen. Die Gefahr von sich widersprechenden Entscheiden besteht nicht. Sachliche Gründe für eine Vereinigung nach Art. 30 StPO liegen nicht vor.</w:t>
      </w:r>
    </w:p>
    <w:p>
      <w:r>
        <w:rPr>
          <w:b/>
        </w:rPr>
        <w:t>E. 2</w:t>
      </w:r>
    </w:p>
    <w:p>
      <w:r>
        <w:t>Sodann ist über den Sistierungsantrag von Rechtsanwalt L.________ zu entscheiden.</w:t>
      </w:r>
    </w:p>
    <w:p>
      <w:r>
        <w:rPr>
          <w:b/>
        </w:rPr>
        <w:t>E. 2.1</w:t>
      </w:r>
    </w:p>
    <w:p>
      <w:r>
        <w:t>Gemäss Art. 314 Abs. 1 lit. b StPO kann die Staatsanwaltschaft eine Untersuchung sistieren, wenn der Ausgang des Strafverfahrens von einem anderen Verfahren abhängt und es ange- bracht erscheint, dessen Ausgang abzuwarten. Diese Bestimmung ist im Beschwerdeverfah- ren sinngemäss anwendbar (Urteil des Bundesgerichts 1B_259/2018 vom 26. Juni 2018 E. 2).</w:t>
      </w:r>
    </w:p>
    <w:p>
      <w:r>
        <w:rPr>
          <w:b/>
        </w:rPr>
        <w:t>E. 2.2</w:t>
      </w:r>
    </w:p>
    <w:p>
      <w:r>
        <w:t>Rechtsanwalt L.________ verlangt eine Sistierung, bis das Bundesgericht im Verfahren 6B_848/2023 gestützt auf den auch hier zur Debatte stehenden Sachverhalt entweder einen Entscheid über die Einziehungsfähigkeit der Grundstücke GS b.________, a.________ und c.________ in ________(Gemeinde) gefällt habe oder auf die diesbezüglichen Rügen nicht eintrete. Gegenstand dieses bundesgerichtlichen Verfahrens bildet der Beschluss des Obergerichts Zug BS 2023 16 vom 15. Mai 2023. Im Verfahren BS 2023 16 war – im Rahmen einer Nicht- anhandnahme – zu beurteilen, ob die fallführende Staatsanwältin sich der Geldwäscherei (Art. 305bis StGB) oder der Gehilfenschaft dazu strafbar machte, indem sie zuliess, dass der Beschwerdeführer auf den abc.________-Liegenschaften einen Register-Schuldbrief errich- ten konnte. Das Obergericht führte zunächst aus, dass der Passus in Art. 305bis StGB, wo- nach der Vermögenswert "aus einem Verbrechen herrühren" müsse, mit Hilfe von Art. 70 StGB (dortiger Passus: "durch ein Verbrechen erlangt") ausgelegt werden müsse. Es verwies dazu auf das Urteil des Bundesgerichts 6B_430/2012 vom 8. Juli 2013 und hielt fest, dass der Vermögensvorteil, den der Beschwerdeführer möglicherweise erlangt habe, nicht in den Grundstücken als solchen bestehe, sondern in der Kostenersparnis von CHF 4-9 Mio. Die Vermögenswerte, die aus der ungetreuen Geschäftsbesorgung "herrühren" würden, seien somit nicht die Grundstücke in ________(Gemeinde), sondern die Kaufpreisdifferenz. Die Er- richtung eines Register-Schuldbriefes an den Grundstücken betreffe folglich keinen Vermö- genswert, der aus einem Verbrechen herrühre. Eine strafbare Geldwäschereihandlung an den Grundstücken – sei dies als Haupttäterin oder Gehilfin – falle deshalb ausser Betracht (Beschluss des Obergerichts Zug BS 2023 16 vom 15. Mai 2023 E. 5.2 ff.).</w:t>
      </w:r>
    </w:p>
    <w:p>
      <w:r>
        <w:rPr>
          <w:b/>
        </w:rPr>
        <w:t>E. 2.3</w:t>
      </w:r>
    </w:p>
    <w:p>
      <w:r>
        <w:t>Es trifft zwar zu, dass das Obergericht Zug im Beschluss vom 15. Mai 2023 mit seinen Aus- führungen über das Tatobjekt der Geldwäscherei ("Vermögenswerte, die aus einem Ver- brechen […] herrühren") indirekt auch über die Einziehungsfähigkeit der abc.________- Liegenschaften geurteilt hat. Falls sich das Bundesgericht zu dieser Frage äussert, könnte in der Tat weiterer Aufwand im vorliegenden Verfahren vermieden werden. Allerdings ist nicht absehbar, dass das Bundesgericht sein Urteil demnächst fällt. Zudem ist ungewiss, ob das Bundesgericht sich zu dieser Frage überhaupt äussert. So ist nämlich auch denkbar, dass</w:t>
      </w:r>
    </w:p>
    <w:p>
      <w:r>
        <w:t>Seite 6/9 es die Beschwerde aus anderen Gründen abweist oder gar nicht darauf eintritt. Folglich ist die Sistierung nicht angebracht und der entsprechende Antrag abzuweisen.</w:t>
      </w:r>
    </w:p>
    <w:p>
      <w:r>
        <w:rPr>
          <w:b/>
        </w:rPr>
        <w:t>E. 3</w:t>
      </w:r>
    </w:p>
    <w:p>
      <w:r>
        <w:t>Zu entscheiden bleibt somit über die Rechtmässigkeit der Liegenschaften-Beschlagnahme- Verfügung.</w:t>
      </w:r>
    </w:p>
    <w:p>
      <w:r>
        <w:rPr>
          <w:b/>
        </w:rPr>
        <w:t>E. 3.1</w:t>
      </w:r>
    </w:p>
    <w:p>
      <w:r>
        <w:t>Gegenstände und Vermögenswerte einer beschuldigten Person oder einer Drittperson kön- nen namentlich dann beschlagnahmt werden, wenn die Gegenstände und Vermögenswerte voraussichtlich den Geschädigten zurückzugeben oder wenn sie einzuziehen sind (Art. 263 Abs. 1 lit. c und d StPO). Eingezogene Gegenstände und Vermögenswerte können unter den Voraussetzungen von Art. 73 Abs. 1 lit. b StGB den Geschädigten zugesprochen (zurückge- geben oder ausgehändigt) werden. Die Einziehung wiederum ist in Art. 70 StGB geregelt. Gemäss Art. 70 Abs. 1 StGB verfügt das Gericht die Einziehung von Vermögenswerten, die durch eine Straftat erlangt worden sind oder dazu bestimmt waren, eine Straftat zu veranlas- sen oder zu belohnen, sofern sie nicht dem Verletzten zur Wiederherstellung des rechtmäs- sigen Zustandes ausgehändigt werden. Gemäss Art. 70 Abs. 2 StGB ist die Einziehung aus- geschlossen, wenn ein Dritter die Vermögenswerte in Unkenntnis der Einziehungsgründe erworben hat und soweit er für sie eine gleichwertige Gegenleistung erbracht hat oder die Einziehung ihm gegenüber sonst eine unverhältnismässige Härte darstellen würde. E con- trario folgt aus dieser Bestimmung, dass deliktisch erlangte Vermögenswerte grundsätzlich bei jedem Dritten eingezogen werden können, der diese in Kenntnis der Einziehungsgründe oder ohne gleichwertige Gegenleistung erwirbt. Die sogenannte Ausgleichseinziehung nach Art. 70 StGB setzt ein Verhalten voraus, das den objektiven und subjektiven Tatbestand einer Strafnorm erfüllt und rechtswidrig ist. Erforderlich ist, dass zwischen der Straftat und dem erlangten Vermögenswert ein kausaler Zusammenhang besteht in dem Sinn, dass die Erlangung des Vermögenswerts als "direkte und unmittelbare" Folge der Straftat erscheint. Dabei können aber auch bloss indirekt durch eine strafbare Handlung erlangte Vermögens- werte Gegenstand einer Einziehung sein. Eingezogen werden können nach der Rechtspre- chung neben den unmittelbar aus der Straftat stammenden Vermögenswerten auch Surroga- te, sofern die von den Original- zu den Ersatzwerten führenden Transaktionen identifiziert und dokumentiert werden können (vgl. Urteil des Bundesgerichts 6B_1236/2018 vom 28. September 2020 E. 5.2 mit Hinweisen).</w:t>
      </w:r>
    </w:p>
    <w:p>
      <w:r>
        <w:rPr>
          <w:b/>
        </w:rPr>
        <w:t>E. 3.2</w:t>
      </w:r>
    </w:p>
    <w:p>
      <w:r>
        <w:t>Das Bundesgericht hatte im Urteil 6B_430/2012 vom 8. Juli 2013 eine dem vorliegenden Fall ähnliche Konstellation einer ungetreuen Geschäftsbesorgung zu beurteilen, in welcher Ver- mögenswerte zu einem zu tiefen Preis veräussert wurden. Dabei erwog das Bundesgericht was folgt (E. 3.2): "Die Straftat des Beschwerdegegners X.________ besteht allerdings nicht darin, dass er überhaupt B.________ AG-Aktien an die anderen Beschwerdegegner veräusserte. Sie liegt darin, dass er diese Aktien am 25. April 2000 zu einem zu niedrigen Preis verkaufte, nämlich zum Preis von Fr. 10.-- statt Fr. 20.76. Der Vermögenswert, welchen die Be- schwerdegegner dank der Straftat des Beschwerdegegners X.________ erlangten, be- steht nicht in den Aktien als solchen, sondern in der Kostenersparnis von Fr. 10.76 pro Aktie. Diese Ersparnis kann nicht durch Einziehung, sondern nur durch staatliche Ersatz- forderung abgeschöpft werden. Mit der Festlegung einer Ersatzforderung von Fr. 10.76 pro Aktie wird der Vermögensvorteil, welchen die Beschwerdegegner durch die Straftat des Beschwerdegegners X.________ erlangten, ausgeglichen."</w:t>
      </w:r>
    </w:p>
    <w:p>
      <w:r>
        <w:t>Seite 7/9</w:t>
      </w:r>
    </w:p>
    <w:p>
      <w:r>
        <w:rPr>
          <w:b/>
        </w:rPr>
        <w:t>E. 3.3</w:t>
      </w:r>
    </w:p>
    <w:p>
      <w:r>
        <w:t>Vorliegend bezahlte der Beschwerdeführer für die abc.________-Liegenschaften CHF 16 Mio. Dies war nach Ansicht der Privatklägerinnen ein zu tiefer Kaufpreis, da der Wert dieser Liegenschaften CHF 20-25 Mio. betragen haben soll. Die ungetreue Geschäftsbesor- gung lag nach ihrer Darstellung demnach in der Vereinbarung eines zu tiefen Kaufpreises und nicht im Verkauf der Grundstücke an und für sich. Der Vermögensvorteil, den der Be- schwerdeführer möglicherweise erlangte, besteht deshalb in Anlehnung an die vorzitierte bundesgerichtliche Rechtsprechung nicht in den abc.________-Liegenschaften als solchen, sondern in der Kostenersparnis von CHF 4-9 Mio. Die Vermögenswerte, die aus der unge- treuen Geschäftsbesorgung "herrühren", sind somit nicht die abc.________-Liegenschaften, sondern die Kaufpreisdifferenz. Die Einziehung der Liegenschaften und damit deren Be- schlagnahme fallen deshalb ausser Betracht. Folglich ist die Beschwerde des Beschwerde- führers gutzuheissen.</w:t>
      </w:r>
    </w:p>
    <w:p>
      <w:r>
        <w:rPr>
          <w:b/>
        </w:rPr>
        <w:t>E. 3.4</w:t>
      </w:r>
    </w:p>
    <w:p>
      <w:r>
        <w:t>Anzumerken bleibt schliesslich Folgendes: Eine Zwangsmassnahme – dazu gehört auch die Einziehung – darf nur ergriffen werden, wenn die damit angestrebten Ziele nicht durch milde- re Massnahmen erreicht werden können (Art. 197 Abs. 1 lit. c StPO). Zwangsmassnahmen, die in die Grundrechte nicht beschuldigter Personen eingreifen, sind besonders zurückhal- tend einzusetzen (Art. 197 Abs. 2 StPO). Vorliegend ist eine strafrechtliche Beschlagnahme bzw. eine Grundbuchsperre bereits inso- fern nicht erforderlich, als auf den Liegenschaften bereits eine zivilrechtliche Vormerkung zu- gunsten der Privatklägerinnen eingetragen wurde (vgl. Dispositiv-Ziffer 2.1 und 2.2 des Ur- teils des Obergerichts Zug Z2 2021 21 vom 16. Februar 2022). Unabhängig davon, dass die Voraussetzungen für eine zivilrechtliche Vormerkung bzw. Grundbuchsperre anders sind, sind mit ihr die zwei Hauptziele der Einziehung – der Ausgleich deliktischer Vorteile und die (Möglichkeit zur) Rückerstattung an den Geschädigten (Baumann, Basler Kommentar, 4. A. 2019, Art. 70/71 StGB N 3 f.) – bereits erfüllt (vgl. auch Baumann, a.a.O., Art. 70/71 StGB N 38). Das dritte Ziel der Einziehung – die Ausgrenzung deliktisch erlangter Vermögenswerte in natura (Baumann, a.a.O., Art. 70/71 StGB N 5) – ist vorliegend ohnehin nicht einschlägig, da es sich bei den abc.________-Liegenschaften nicht um "deliktische Vermögenswerte" handelt (vorne E. 3.2 f.). Zudem gehen zivilrechtliche Rückgabeansprüche der strafrechtli- chen Einziehung vor. Die Einziehung darf nicht zu einer Doppelverpflichtung führen. Deshalb kommt sie primär bei Delikten in Frage, die sich gegen allgemeine Interessen richten (vgl. Schmid, in: Schmid [Hrsg.], Kommentar Einziehung, Organisiertes Verbrechen, Geldwäsche- rei, 2. A 2007, § 2 N 66 mit Hinweisen). Die Hehlerei nach Art. 160 StGB schützt aber den (individuellen) Anspruch des durch die Vortat Verletzten auf Herausgabe der deliktisch ent- zogenen Sache (vgl. Weissenberger, Basler Kommentar, 4. A. 2019, Art. 160 StGB N 5).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