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19 vom 21. März 2023</w:t>
      </w:r>
    </w:p>
    <w:p>
      <w:r>
        <w:t>ZG Obergericht, 2023-03-21, DE</w:t>
      </w:r>
    </w:p>
    <w:p>
      <w:r>
        <w:rPr>
          <w:b/>
        </w:rPr>
        <w:t xml:space="preserve">Quelle: </w:t>
      </w:r>
      <w:r>
        <w:t>https://mcp.opencaselaw.ch/entscheid/zg_obergericht_BS_2023_19</w:t>
      </w:r>
    </w:p>
    <w:p>
      <w:r>
        <w:t>FR: ZG_OBERGERICHT BS 2023 19 du 21 mars 2023</w:t>
      </w:r>
    </w:p>
    <w:p>
      <w:r>
        <w:t>IT: ZG_OBERGERICHT BS 2023 19 del 21 marzo 2023</w:t>
      </w:r>
    </w:p>
    <w:p>
      <w:pPr>
        <w:pStyle w:val="Heading2"/>
      </w:pPr>
      <w:r>
        <w:t>Regeste</w:t>
      </w:r>
    </w:p>
    <w:p>
      <w:r>
        <w:t>I. Beschwerdeabteilung</w:t>
      </w:r>
    </w:p>
    <w:p>
      <w:pPr>
        <w:pStyle w:val="Heading2"/>
      </w:pPr>
      <w:r>
        <w:t>Erwägungen</w:t>
      </w:r>
    </w:p>
    <w:p>
      <w:r>
        <w:rPr>
          <w:b/>
        </w:rPr>
        <w:t>E. 1</w:t>
      </w:r>
    </w:p>
    <w:p>
      <w:r>
        <w:t>Gemäss Art. 39 Abs. 1 JStPO richten sich im Jugendstrafverfahren die Zulässigkeit der Be- schwerde und die Beschwerdegründe nach Art. 393 StPO. Gegen die Verfügungen und Ver- fahrenshandlungen der Jugendanwaltschaft ist die Beschwerde somit grundsätzlich zulässig (Art. 393 Abs. 1 lit. a StPO i.V.m. Art. 39 Abs. 1 JStPO). Die Beschwerde ist überdies u.a. zulässig gegen die vorsorgliche Anordnung von Schutzmassnahmen (Art. 39 Abs. 2 lit. a JStPO). Anfechtungsobjekt bildet vorliegend eine Verfügung der Jugendanwaltschaft über die Versetzung im Rahmen der vorsorglichen Unterbringung. Mithin geht es um eine Voll- zugsmassnahme im Rahmen einer bereits vorsorglich angeordneten Unterbringung. Die Be- schwerdefähigkeit der angefochtenen Verfügung vom 2. Februar 2023 ist somit gestützt auf Art. 393 Abs. 1 lit. a StPO i.V.m. Art. 39 Abs. 1 JStPO zu bejahen. Auf die Beschwerde ist daher einzutreten.</w:t>
      </w:r>
    </w:p>
    <w:p>
      <w:r>
        <w:t>Seite 4/9</w:t>
      </w:r>
    </w:p>
    <w:p>
      <w:r>
        <w:rPr>
          <w:b/>
        </w:rPr>
        <w:t>E. 2</w:t>
      </w:r>
    </w:p>
    <w:p>
      <w:r>
        <w:t>Die Staatsanwaltschaft begründete die Versetzung des Beschwerdeführers in die offene Ab- teilung des A.________ mit dessen Entwicklung im bisherigen Massnahmenverlauf. Der Be- schwerdeführer benötige zur Behandlung seiner multiplen chronifizierten pädagogischen und therapeutischen Themen einen längerfristig angelegten, eng strukturierten pädagogischen Rahmen. Aufgrund seiner vielschichtigen Problematiken sei ein eng mit der Pädagogik ver- netztes, gut ausgebautes internes Therapieangebot und eine interne Berufsausbildung erfor- derlich. Die entsprechenden Rahmenbedingungen für eine förderliche Persönlichkeitsent- wicklung könnten für den Beschwerdeführer vom A.________ abgedeckt werden.</w:t>
      </w:r>
    </w:p>
    <w:p>
      <w:r>
        <w:rPr>
          <w:b/>
        </w:rPr>
        <w:t>E. 3</w:t>
      </w:r>
    </w:p>
    <w:p>
      <w:r>
        <w:t>Demgegenüber erachtet der Beschwerdeführer die Versetzung in die offene Abteilung des A.________ als unverhältnismässig. Zur Begründung macht er im Wesentlichen Folgendes geltend:</w:t>
      </w:r>
    </w:p>
    <w:p>
      <w:r>
        <w:rPr>
          <w:b/>
        </w:rPr>
        <w:t>E. 3.1</w:t>
      </w:r>
    </w:p>
    <w:p>
      <w:r>
        <w:t>Gemäss Gutachten sei für den Beschwerdeführer eine gut strukturierte Einrichtung wün- schenswert, mit der Möglichkeit zur internen Beschulung und Ausbildung, welche die Zu- kunftsperspektive längerfristig unterstütze und aktive Angebote zur prosozialen Freizeitbe- schäftigung biete. Ausserdem werde im Gutachten ausdrücklich darauf hingewiesen, dass der Verlust von Bezugspersonen durch die Beendigung der Beziehung mit der Freundin und die Fremdplatzierung für den Beschwerdeführer sehr belastende Lebensumstände gewesen seien. Die Folge dieser Lebensumstände seien eine deutliche Stimmungsverschlechterung und eine massive Steigerung des Alkohol- und Mischkonsums und als dessen Folge die De- likte gewesen, welche vorliegend zur Diskussion stünden. Aus diesen Ausführungen im Gut- achten müsse zwingend geschlossen werden, dass eine erneute Entwurzelung ein äusserst schlechter Nährboden für eine Behandlung des Beschwerdeführers wäre. Das A.________ habe in Bezug auf Urlaub und Freizeit äusserst strenge Regeln. Aufgrund der geographi- schen Distanz zu seinem Wohnort wäre der Beschwerdeführer überdies nicht in der Lage, während des Ausgangs nach Hause gehen zu können. Des Weiteren werde er während der gesamten Dauer der Massnahme keine Möglichkeit haben, seine gesundheitlich angeschla- genen Grosseltern in L.________ zu besuchen. Schliesslich könne auch der Wunsch des Beschwerdeführers nach einer kaufmännischen Ausbildung im A.________ nicht verwirklicht werden, da dort nur handwerkliche Ausbildungen angeboten würden. Der Beschwerdeführer habe einen IQ von 124 und überhaupt kein handwerkliches Talent. Bei ihm sei das Asperger- Syndrom diagnostiziert worden. Wenn der Beschwerdeführer zu einer handwerklichen Aus- bildung gezwungen werde, würde dies sein Selbstbild nicht verbessern. Das A.________ sei somit für die Behandlung des Beschwerdeführers nicht geeignet.</w:t>
      </w:r>
    </w:p>
    <w:p>
      <w:r>
        <w:rPr>
          <w:b/>
        </w:rPr>
        <w:t>E. 3.2</w:t>
      </w:r>
    </w:p>
    <w:p>
      <w:r>
        <w:t>Es stünden durchaus Institutionen zur Verfügung, welche für den Beschwerdeführer in Frage kämen, aber weniger einschränkend seien, so insbesondere die K.________. Dort hätte der Beschwerdeführer auch die Möglichkeit, die von ihm gewünschte Lehre "Kaufmann EFZ" zu absolvieren. Diese Institution würde auch geographisch wesentlich näher beim Wohnort des Beschwerdeführers liegen als das A.________, so dass er von der geordneten Struktur des Jugendheimes, dem ausgezeichneten Betreuungsangebot, den umfassenden und flexiblen Ausbildungsmöglichkeiten als auch vom familiären Rückhalt profitieren könnte. Das Gutach- ten lege nicht schlüssig dar, weshalb eine Wohngruppe oder gar eine ambulante Behandlung nicht ausreichend sein sollten. Letztlich gehe es darum, die ambulante Behandlung flankie- rend zu unterstützen, "indem der Beschwerdeführer abstinent" bleibe. Hierzu stünden zahl-</w:t>
      </w:r>
    </w:p>
    <w:p>
      <w:r>
        <w:t>Seite 5/9 reiche Optionen zur Verfügung, welche weniger in die persönliche Freiheit und das Familien- leben des Beschwerdeführers eingreifen würden.</w:t>
      </w:r>
    </w:p>
    <w:p>
      <w:r>
        <w:rPr>
          <w:b/>
        </w:rPr>
        <w:t>E. 3.3</w:t>
      </w:r>
    </w:p>
    <w:p>
      <w:r>
        <w:t>Dem Beschwerdeführer würden zwar mehrere Delikte angelastet, wobei es mit Ausnahme des Vorfalls vom tt.mm. 2022 generell um geringfügige Delikte gehe, welche eine Massnah- me offensichtlich nicht rechtfertigten. Das Rückfallrisiko hänge direkt mit dem exzessiven Al- koholkonsum zusammen und könne daher genauso gut durch ein anderes Setting bzw. eine andere Institution verringert werden. Die Eingriffswirkung bestehe indes darin, dass die Frei- heit und das Familienleben des Beschwerdeführers während der Dauer der Massnahme massiv eingeschränkt werde und der Beschwerdeführer bereits mehrfach aus seinem Umfeld entwurzelt worden sei. Für den Beschwerdeführer wirke sich eine erneute Entwurzelung da- her besonders gravierend aus. Dazu komme, dass das A.________ nicht auf die Person und Zukunftswünsche des Beschwerdeführers eingehen könne, was auch auf das spätere Leben Auswirkungen habe. Der Eingriffszweck vermöge daher die Eingriffswirkung nicht zu rechtfer- tigen, weshalb sich die Massnahme als nicht verhältnismässig erweise. Die angefochtene Verfügung verletze zudem das Recht auf Freiheit und Sicherheit nach Art. 5 EMRK und das Recht auf Achtung des Privat- und Familienlebens gemäss Art. 8 EMRK.</w:t>
      </w:r>
    </w:p>
    <w:p>
      <w:r>
        <w:rPr>
          <w:b/>
        </w:rPr>
        <w:t>E. 4</w:t>
      </w:r>
    </w:p>
    <w:p>
      <w:r>
        <w:t>Nach Art. 15 Abs. 1 JStG ordnet die urteilende Behörde die Unterbringung des Jugendlichen an, wenn dessen notwendige Erziehung und Behandlung nicht anders sichergestellt werden kann. Die Unterbringung erfolgt namentlich bei Privatpersonen oder in Erziehungs- oder Be- handlungseinrichtungen, die in der Lage sind, die erforderliche erzieherische oder therapeu- tische Hilfe zu leisten. Vor der Unterbringung zur Behandlung einer psychischen Störung in einer offenen Einrichtung oder vor der Unterbringung in einer geschlossenen Einrichtung ordnet die urteilende Behörde eine medizinische oder psychologische Begutachtung an, falls diese nicht bereits auf Grund von Artikel 9 Absatz 3 erstellt wurde (Art. 15 Abs. 3 JStG). Der Grundsatz der Verhältnismässigkeit (Art. 5 Abs. 2 und Art. 36 Abs. 2 und 3 BV) gilt im ge- samten Massnahmenrecht, sowohl bei der Anordnung von Massnahmen als auch bei den Folgeentscheiden. Gemäss Art. 1 Abs. 2 lit. c JStG ist Art. 56 Abs. 2 StGB, welcher die Ver- hältnismässigkeit im Massnahmenrecht konkretisiert, sinngemäss anwendbar. Das Verhält- nismässigkeitsprinzip verlangt, dass die Massnahme geeignet ist, beim Betroffenen die Le- galprognose zu verbessern. Weiter muss die Massnahme notwendig sein. Sie hat zu unter- bleiben, wenn eine gleich geeignete, aber mildere Massnahme für den angestrebten Erfolg ausreichen würde. Schliesslich muss zwischen dem Eingriff und dem angestrebten Zweck eine vernünftige Relation bestehen (Verhältnismässigkeit i.e.S.; Urteil des Bundesgerichts 6B_326/2020 vom 17. April 2020 E. 3.3.2 f. m.H.).</w:t>
      </w:r>
    </w:p>
    <w:p>
      <w:r>
        <w:rPr>
          <w:b/>
        </w:rPr>
        <w:t>E. 5</w:t>
      </w:r>
    </w:p>
    <w:p>
      <w:r>
        <w:t>Wie bereits ausgeführt, beauftragte die Staatsanwaltschaft die J.________ mit der Begutach- tung des Beschwerdeführers. Aufgrund der Ausführungen in diesem Gutachten vom tt.mm. 2023 (Vi act. 10/6) und der Empfehlung des I.________ vom tt.mm. 2023 (Vi act. 9/15) er- weist sich die Einweisung des Beschwerdeführers ins A.________ für dessen günstige Ent- wicklung ohne Weiteres als erforderlich, geeignet und überdies verhältnismässig.</w:t>
      </w:r>
    </w:p>
    <w:p>
      <w:r>
        <w:rPr>
          <w:b/>
        </w:rPr>
        <w:t>E. 5.1</w:t>
      </w:r>
    </w:p>
    <w:p>
      <w:r>
        <w:t>Im Gutachten wird eingehend ausgeführt, weshalb nach jetzigem Kenntnisstand nicht davon auszugehen sei, dass der familiäre Rahmen aktuell die benötigten Rahmenbedingungen bie- ten könne, um die Entwicklung und die Legalprognose des Beschwerdeführers günstig zu beeinflussen. Die Gutachter kamen dabei zum Schluss, dass eine ambulante Massnahme</w:t>
      </w:r>
    </w:p>
    <w:p>
      <w:r>
        <w:t>Seite 6/9 derzeit als nicht ausreichend erscheine, um die multiplen ungünstigen Einflussfaktoren posi- tiv zu beeinflussen (Vi act. 10/6 S. 100 ff.). Entgegen der Auffassung des Beschwerdeführers geht aus den – schlüssigen und nachvollziehbaren – gutachterlichen Feststellungen hinrei- chend klar hervor, weshalb eine Wohngruppe oder gar eine ambulante Behandlung derzeit als nicht ausreichend erscheinen. Die Gutachter empfehlen vielmehr eine zunächst feste und enge Gestaltung der Freizeit und der Urlaubszeiten mit dem Ziel einer verbesserten Einge- wöhnung und weniger unbetreuten Zeiten, die zu alten Mustern von "Abhängen und Konsum" verführen könnten, sowie Lockerungsmöglichkeiten bei guter Mitarbeit im Verlauf (Vi act. 10/6 S. 101 f.). Der Hauptantrag des Beschwerdeführers um unverzügliche Entlassung aus der vorsorglichen Unterbringung ist daher gestützt auf die überzeugenden gutachterlichen Feststellungen abzuweisen.</w:t>
      </w:r>
    </w:p>
    <w:p>
      <w:r>
        <w:rPr>
          <w:b/>
        </w:rPr>
        <w:t>E. 5.2</w:t>
      </w:r>
    </w:p>
    <w:p>
      <w:r>
        <w:t>Zutreffend ist, dass das A.________ in Bezug auf Urlaub und Freizeit strengere Regeln als andere Massnahmenzentren hat, worauf auch die Staatsanwaltschaft in ihrer Vernehmlas- sung hinweist (act. 4 S. 5). Nach den Ausführungen im Gutachten ist diese Institution aber gerade deshalb geeignet, die empfohlene generelle Substanzabstinenz mit einer Null- Toleranz-Grenze zu erreichen. Dies sei, so die Gutachter, vorliegend entscheidend, da die bisherigen Delikte unbestrittenermassen immer im Zusammenhang mit dem Substanzkon- sum entstanden seien und der Beschwerdeführer sich in nüchternem Zustand anpassungs- fähig und betreffend den Alkoholkonsum behandlungsmotiviert gezeigt habe. Zur Reduktion der kurzfristigen ungünstigen Legalprognose im Bereich "Leib und Leben" und "Betäu- bungsmittelverstösse" gelte es daher, die wichtigsten Risikofaktoren – nämlich einen fehlen- den prosozialen Empfangsrahmen sowie ein fehlendes pädagogisches Umfeld und eine hohe Gefahr des erneuten Substanzkonsums bei Alkoholabhängigkeit – zu minimieren (vgl. Vi act. 10/6 S. 101 f.). Zudem führte auch das I.________, wo sich der Beschwerdeführer seit Sep- tember zunächst in der geschlossenen und in der Folge in der offenen Abteilung aufhielt, in seiner Massnahmenempfehlung aus, dass aufgrund der Erfahrungen in der Zusammenarbeit mit dem Beschwerdeführer lediglich das A.________ – mit einem Eintritt in die offene Abtei- lung – geeignet sei, um mit den ausgesprochen chronifizierten Problematiken umgehen zu können (Vi act. 9/15).</w:t>
      </w:r>
    </w:p>
    <w:p>
      <w:r>
        <w:rPr>
          <w:b/>
        </w:rPr>
        <w:t>E. 5.3</w:t>
      </w:r>
    </w:p>
    <w:p>
      <w:r>
        <w:t>An der Verhältnismässigkeit der angeordneten Massnahme vermag auch nichts zu ändern, dass der Beschwerdeführer aufgrund der geographischen Distanz zu seinem Wohnort nicht in der Lage sein wird, während des Ausgangs nach Hause zu gehen. Beim vom Beschwerde- führer als Alternative vorgeschlagenen K.________, welches geographisch näher bei seinem Wohnort liegt, handelt es sich um ein offenes Jugendheim, welches vom I.________ auf- grund des Alters des Beschwerdeführers und dessen Problematik gerade nicht angezeigt ist (Vi act. 9/15 S. 2). Darüber hinaus führt auch die Staatsanwaltschaft in ihrer Vernehmlassung zu Recht aus, weshalb diese Institution gerade aufgrund des beim Beschwerdeführers dia- gnostizierten Alkoholabhängigkeitssyndroms alles andere als geeignet erscheint (act. 4 S. 6). Auch ist in diesem Zusammenhang nicht ersichtlich, inwiefern durch die Einweisung des Be- schwerdeführers in das A.________ das Recht auf Achtung des Privat- und Familienlebens gemäss Art. 8 EMRK verletzt sein soll. Abs. 2 dieser Bestimmung sieht ausdrücklich vor, dass ein Eingriff in dieses Grundrecht unter anderem – wie vorliegend – zur Verhütung von Straftaten oder zum Schutz der Gesundheit erfolgen kann. Die Gutachter empfehlen, wie er- wähnt, explizit eine zunächst feste und enge Gestaltung der Freizeit- und Urlaubszeiten mit dem Ziel einer verbesserten Eingewöhnung und weniger unbetreuten Zeiten. Zudem kann</w:t>
      </w:r>
    </w:p>
    <w:p>
      <w:r>
        <w:t>Seite 7/9 der Beschwerdeführer gemäss Hausordnung des A.________ wöchentlich vier Stunden be- sucht werden. Der Beschwerdeführer legt denn auch nicht näher dar, inwiefern durch die Einweisung Art. 8 EMRK verletzt sein soll. Ebenso wenig ist ein Verstoss gegen Art. 5 EMRK (Recht auf Freiheit und Sicherheit) ersichtlich, sieht doch Abs. 1 lit. e dieser Bestimmung vor, dass ein Freiheitsentzug auf die gesetzlich vorgeschriebene Weise bei Alkoholsüchtigen er- folgen kann. Eine Alkoholabhängigkeit wurde beim Beschwerdeführer festgestellt (Vi act. 10/6 S. 81).</w:t>
      </w:r>
    </w:p>
    <w:p>
      <w:r>
        <w:rPr>
          <w:b/>
        </w:rPr>
        <w:t>E. 5.4</w:t>
      </w:r>
    </w:p>
    <w:p>
      <w:r>
        <w:t>Auch der Umstand, dass der Beschwerdeführer die gewünschte Lehre "Kaufmann EFZ" mangels eines entsprechenden Angebots im A.________ (noch) nicht in Angriff nehmen kann, lässt die angeordnete Massnahme nicht als unverhältnismässig erscheinen. Wie die Staatsanwaltschaft in ihrer Vernehmlassung ausführt, reichen die Deutschkenntnisse des Beschwerdeführers, verbunden mit den bestehenden schulischen Lücken, derzeit für eine sprachlich orientierte Ausbildung bei Weitem noch nicht aus, was der Beschwerdeführer denn auch nicht in Abrede stellt. Es ist der Staatsanwaltschaft folglich beizupflichten, dass der Beschwerdeführer mit seiner Problematik zunächst stabilisiert und behandelt werden muss, damit er in Zukunft die Möglichkeit erhält, eine ihm zusagende Ausbildung zu absolvie- ren.</w:t>
      </w:r>
    </w:p>
    <w:p>
      <w:r>
        <w:rPr>
          <w:b/>
        </w:rPr>
        <w:t>E. 6</w:t>
      </w:r>
    </w:p>
    <w:p>
      <w:r>
        <w:t>Aufgrund des Gutachtens vom tt.mm. 2023 und der Empfehlung des I.________ vom tt.mm. 2023 erscheint die von der Staatsanwaltschaft in der angefochtenen Verfügung angeordnete Einweisung des Beschwerdeführers in die offene Abteilung des A.________ als angezeigt und geeignet, um dessen pädagogische und therapeutische Auffälligkeiten zu beobachten und zu behandeln sowie diesen gesundheitlich zu stabilisieren. Die Beschwerde erweist sich damit als unbegründet und ist abzuweisen.</w:t>
      </w:r>
    </w:p>
    <w:p>
      <w:r>
        <w:rPr>
          <w:b/>
        </w:rPr>
        <w:t>E. 7</w:t>
      </w:r>
    </w:p>
    <w:p>
      <w:r>
        <w:t>Bei diesem Ausgang hat der Beschwerdeführer die Verfahrenskosten zu tragen (Art. 428 Abs. 1 StPO).</w:t>
      </w:r>
    </w:p>
    <w:p>
      <w:r>
        <w:rPr>
          <w:b/>
        </w:rPr>
        <w:t>E. 7.1</w:t>
      </w:r>
    </w:p>
    <w:p>
      <w:r>
        <w:t>Der amtliche Verteidiger ist für das Beschwerdeverfahren aus der Staatskasse angemessen zu entschädigen und der Beschwerdeführer hat dem Staat diese Kosten zurückzuzahlen, so- bald es seine wirtschaftlichen Verhältnisse erlauben (Art. 44 Abs. 2 JStPO i.V.m. Art. 426 Abs. 1 Satz 2 und Art. 135 Abs. 4 StPO).</w:t>
      </w:r>
    </w:p>
    <w:p>
      <w:r>
        <w:rPr>
          <w:b/>
        </w:rPr>
        <w:t>E. 7.2</w:t>
      </w:r>
    </w:p>
    <w:p>
      <w:r>
        <w:t>Der Beschwerdeführer beantragt, ihm sei für das Beschwerdeverfahren die unentgeltliche Prozessführung zu bewilligen. Nach Art. 29 Abs. 3 BV hat jede Person, die nicht über die erforderlichen Mittel verfügt, An- spruch auf unentgeltliche Rechtspflege, wenn ihr Rechtsbegehren nicht aussichtslos er- scheint. Soweit es zur Wahrung ihrer Rechte notwendig ist, hat sie ausserdem Anspruch auf einen unentgeltlichen Rechtsbeistand. Aus der bundesgerichtlichen Rechtsprechung geht hervor, dass Art. 29 Abs. 3 BV als verfassungsrechtliche Minimalgarantie neben der StPO Anwendung findet. Auch wenn die unentgeltliche Rechtspflege für den Beschuldigten in der StPO nicht vorgesehen ist, hat dieser Anspruch darauf, wenn die Voraussetzungen der Mit- tellosigkeit und der fehlenden Aussichtslosigkeit erfüllt sind (Urteile des Bundesgerichts 1B_426/2020 vom 5. Januar 2021 E. 3.2 und 6B_1144/2016 vom 15. Juni 2017 E. 1.3, je mit Hinweisen).</w:t>
      </w:r>
    </w:p>
    <w:p>
      <w:r>
        <w:t>Seite 8/9 Der Beschwerdeführer macht in der Beschwerdeschrift zu dieser Thematik keine Ausführun- gen. Das Gesuch um unentgeltliche Rechtspflege ist daher bereits mangels hinreichender Substantiierung abzuweisen.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