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110 vom 4. Juli 2024</w:t>
      </w:r>
    </w:p>
    <w:p>
      <w:r>
        <w:t>ZG Obergericht, 2024-07-04, DE</w:t>
      </w:r>
    </w:p>
    <w:p>
      <w:r>
        <w:rPr>
          <w:b/>
        </w:rPr>
        <w:t xml:space="preserve">Quelle: </w:t>
      </w:r>
      <w:r>
        <w:t>https://mcp.opencaselaw.ch/entscheid/zg_obergericht_BS_2023_110</w:t>
      </w:r>
    </w:p>
    <w:p>
      <w:r>
        <w:t>FR: ZG_OBERGERICHT BS 2023 110 du 4 juillet 2024</w:t>
      </w:r>
    </w:p>
    <w:p>
      <w:r>
        <w:t>IT: ZG_OBERGERICHT BS 2023 110 del 4 luglio 2024</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Art. 396 Abs. 1 StPO, § 21 Abs. 2 Bst. b GOG und § 7 Abs. 1 GO OG). Auf die unbestritte- nermassen frist- und formgerecht eingereichte Beschwerde des Beschwerdeführers vom 28. Dezember 2023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2</w:t>
      </w:r>
    </w:p>
    <w:p>
      <w:r>
        <w:t>Die Staatsanwaltschaft begründete die Einstellung der Strafuntersuchung gegen den Be- schuldigten wie folgt: Der Beschwerdeführer mache geltend, beim Verkehrsunfall vom tt.mm. 2022 ein kranio- zervikales Akzelerationstrauma erlitten zu haben. In Betracht komme somit eine fahrlässige Körperverletzung gemäss Art. 125 StGB. Dabei stehe die Frage der Kausalität im Zentrum. Der Beschuldigte habe eine Streifkollision mit dem Fahrzeug des Beschwerdeführers verur- sacht. Sein Verhalten sei eine Ursache des Unfalls im Sinne der Bedingungstheorie gewe- sen. In Bezug auf die Frage der Adäquanz komme die technische Unfallanalyse zum Ergeb- nis, dass die vom Beschwerdeführer geltend gemachten Beschwerden nicht mit den Kollisi- onseinwirkungen erklärbar seien, da die Insassenbelastung, abgeleitet aus der kollisionsbe- dingten Geschwindigkeitsänderung des Fahrzeugs des Beschwerdeführers von maximal</w:t>
      </w:r>
    </w:p>
    <w:p>
      <w:r>
        <w:rPr>
          <w:b/>
        </w:rPr>
        <w:t>E. 6</w:t>
      </w:r>
    </w:p>
    <w:p>
      <w:r>
        <w:t>Bei diesem Ausgang sind die Kosten des Beschwerdeverfahrens auf die Staatskasse zu nehmen (Art. 428 Abs. 4 StPO) und der Beschwerdeführer ist für die notwendigen Aufwen- dungen im Beschwerdeverfahren aus der Staatskasse zu entschädigen (Art. 436 Abs. 3 StPO).</w:t>
      </w:r>
    </w:p>
    <w:p>
      <w:r>
        <w:t>Seite 8/8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