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109 vom 23. April 2024</w:t>
      </w:r>
    </w:p>
    <w:p>
      <w:r>
        <w:t>ZG Obergericht, 2024-04-23, DE</w:t>
      </w:r>
    </w:p>
    <w:p>
      <w:r>
        <w:rPr>
          <w:b/>
        </w:rPr>
        <w:t xml:space="preserve">Quelle: </w:t>
      </w:r>
      <w:r>
        <w:t>https://mcp.opencaselaw.ch/entscheid/zg_obergericht_BS_2023_109</w:t>
      </w:r>
    </w:p>
    <w:p>
      <w:r>
        <w:t>FR: ZG_OBERGERICHT BS 2023 109 du 23 avril 2024</w:t>
      </w:r>
    </w:p>
    <w:p>
      <w:r>
        <w:t>IT: ZG_OBERGERICHT BS 2023 109 del 23 aprile 2024</w:t>
      </w:r>
    </w:p>
    <w:p>
      <w:pPr>
        <w:pStyle w:val="Heading2"/>
      </w:pPr>
      <w:r>
        <w:t>Regeste</w:t>
      </w:r>
    </w:p>
    <w:p>
      <w:r>
        <w:t>I. Beschwerdeabteilung</w:t>
      </w:r>
    </w:p>
    <w:p>
      <w:pPr>
        <w:pStyle w:val="Heading2"/>
      </w:pPr>
      <w:r>
        <w:t>Erwägungen</w:t>
      </w:r>
    </w:p>
    <w:p>
      <w:r>
        <w:rPr>
          <w:b/>
        </w:rPr>
        <w:t>E. 1</w:t>
      </w:r>
    </w:p>
    <w:p>
      <w:r>
        <w:t>Der prozessuale Antrag der Beschwerdeführerinnen auf Vereinigung mehrerer Beschwerde- verfahren ist abzuweisen. Die Gefahr von sich widersprechenden Entscheiden besteht nicht. Sachliche Gründe für eine Vereinigung nach Art. 30 StPO liegen nicht vor.</w:t>
      </w:r>
    </w:p>
    <w:p>
      <w:r>
        <w:rPr>
          <w:b/>
        </w:rPr>
        <w:t>E. 2</w:t>
      </w:r>
    </w:p>
    <w:p>
      <w:r>
        <w:t>Bevor geprüft wird, ob die Staatsanwaltschaft mit der Anklageerhebung die erwähnten Straf- verfahren in bestimmten Punkten implizit eingestellt hat, ist den Beschwerdeführerinnen mit Bezug auf Ziffer 1 ihres Rechtsbegehrens (betrifft die "faktische Liquidation") Folgendes ent- gegenzuhalten:</w:t>
      </w:r>
    </w:p>
    <w:p>
      <w:r>
        <w:rPr>
          <w:b/>
        </w:rPr>
        <w:t>E. 2.1</w:t>
      </w:r>
    </w:p>
    <w:p>
      <w:r>
        <w:t>Die I. Beschwerdeabteilung des Obergerichts des Kantons Zug hielt im Rahmen des vorlie- genden Verfahrenskomplexes bereits fest, dass die allfällige "faktische Liquidation" der H.________ AG und/oder von deren Tochter- und Enkelinnengesellschaften für sich allein keine strafbare (Vorbereitungs-)Handlung darstellte. Auf die entsprechende Erwägung kann verwiesen werden (vgl. Urteil des Obergerichts Zug BS 2022 11 vom 13. Dezember 2023 E. 9 in fine). Die Beschwerdeführerinnen begründen in ihrer Beschwerde denn auch nir- gends, inwiefern die Liquidation als solche eine strafbare Handlung gewesen sein oder einen Vermögensschaden bewirkt haben soll (zum Einwand der Beschwerdeführerin, sie hätten an der Wertsteigerung nicht partizipiert, vgl. E. 5). Einen Verstoss gegen Art. 292 StGB bei- spielsweise erwähnen sie in ihrer Beschwerde nicht. Folglich ist nicht weiter darauf einzuge- hen.</w:t>
      </w:r>
    </w:p>
    <w:p>
      <w:r>
        <w:rPr>
          <w:b/>
        </w:rPr>
        <w:t>E. 2.2</w:t>
      </w:r>
    </w:p>
    <w:p>
      <w:r>
        <w:t>Soweit die Beschwerdeführerinnen die Veräusserung der abc.________-Liegenschaften als Liquidationshandlung bezeichnen, ist ihnen ausserdem entgegenzuhalten, dass der Verkauf allein keine solche Handlung darstellt. Vielmehr hätte zugleich auch die Absicht, den Ver- kaufserlös zu reinvestieren, fehlen müssen (vgl. Urteil des Obergerichts Zug BS 2017 79 vom 23. März 2018 E. 3.4.5). Die fehlende Reinvestitionsabsicht erwähnen aber die Beschwerde- führerinnen in ihrer Beschwerde ebenfalls nicht. Vielmehr führen sie selbst aus, der Ver- kaufserlös sei zunächst überwiegend in liquiden Wertpapieren angelegt worden (act. 1 Rz 13). Der Verkauf der abc.________-Liegenschaften erfolgte im September 2017. Erst im Juni 2019 aber (und damit fast zwei Jahre später) soll der Verkaufserlös den Beschwerdefüh- rerinnen vollumfänglich entzogen und auf das "Escrow-Kontogeflecht" überführt worden sein. Die Beschwerdeführinnen legen zudem auch nicht dar, dass die abc.________- Liegenschaften vor dem Verkauf gewinnbringend waren und die Gesellschaften einer eigent- lichen Geschäftstätigkeit nachgingen. Vielmehr hielten sie fest, dass die Gesellschaften vor dem Verkauf keine andere Aktivität als den Besitz und die Bewirtschaftung der Grundstücke für die Familien ________ gehabt hätten (vgl. act. 1 Rz 11).</w:t>
      </w:r>
    </w:p>
    <w:p>
      <w:r>
        <w:rPr>
          <w:b/>
        </w:rPr>
        <w:t>E. 2.3</w:t>
      </w:r>
    </w:p>
    <w:p>
      <w:r>
        <w:t>Den Beschwerdeführerinnen geht es – soweit ersichtlich – mit der Anklageerhebung betref- fend faktische Liquidation darum, die Restitution der Grundstücke im Sinne von Art. 70 StGB (Einziehung) zu ermöglichen (act. 1 Rz 8a). Solange jedoch der Verkauf als solcher keine strafbare Handlung darstellt, sondern höchstens die Vorgänge, die zu einem zu tiefen Ver- kaufspreis geführt haben, allenfalls strafrechtlich relevant sind, ist eine Einziehung ohnehin nicht möglich (vgl. Beschluss des Obergerichts BS 2022 105 vom 21. März 2024 E. 3.2 und 3.3). Abgesehen davon führen die Beschwerdeführerinnen 1 und 2 vor dem Kantonsgericht Zug gegen J.________ einen Zivilprozess, mit dem sie beabsichtigen, den Verkauf rückab-</w:t>
      </w:r>
    </w:p>
    <w:p>
      <w:r>
        <w:t>Seite 5/14 zuwickeln (Verfahren A1 2021 2). Sollten sie damit obsiegen, würde eine strafrechtliche Re- stitution ohnehin hinfällig.</w:t>
      </w:r>
    </w:p>
    <w:p>
      <w:r>
        <w:rPr>
          <w:b/>
        </w:rPr>
        <w:t>E. 2.4</w:t>
      </w:r>
    </w:p>
    <w:p>
      <w:r>
        <w:t>Ziffer 1 des Rechtsbegehrens der Beschwerdeführerinnen ist folglich abzuweisen, soweit darauf einzutreten ist. Soweit sich Ziffer 3 des Rechtsbegehrens auf Ziffer 1 bezieht, ist dem- zufolge auch Ziffer 3 abzuweisen, soweit darauf einzutreten ist.</w:t>
      </w:r>
    </w:p>
    <w:p>
      <w:r>
        <w:rPr>
          <w:b/>
        </w:rPr>
        <w:t>E. 3</w:t>
      </w:r>
    </w:p>
    <w:p>
      <w:r>
        <w:t>Mit Bezug auf Ziffer 2 des Rechtsbegehrens (betrifft die "verfrühte [da in Missachtung einer vorhergesehenen, imminenten Wertsteigerung erfolgte] Veräusserung") stellt sich die Frage, ob eine implizite Teileinstellung vorliegt, was die Staatsanwaltschaft verneint.</w:t>
      </w:r>
    </w:p>
    <w:p>
      <w:r>
        <w:rPr>
          <w:b/>
        </w:rPr>
        <w:t>E. 3.1</w:t>
      </w:r>
    </w:p>
    <w:p>
      <w:r>
        <w:t>Mit der Einstellung (Art. 319 StPO) wird das Strafverfahren beendet. Die Folge ist, dass es betreffend den eingestellten Sachverhalt – vorbehältlich der Wiederaufnahme nach Art. 323 StPO – zu keinem auf eine Verurteilung des Beschuldigten gerichteten Gerichts- bzw. Straf- befehlsverfahren mehr kommt. Aus dem Erledigungsprinzip nach Art. 2 Abs. 2 StPO folgt, dass sämtliche untersuchten Lebenssachverhalte in einer gesetzlich vorgesehenen Form – entweder mittels Anklage (Art. 324 ff. StPO), Einstellung (Art. 319 ff. StPO) oder Strafbefehl (Art. 352 ff. StPO) – abzuschliessen sind. Falls bei mehreren untersuchten Lebenssachver- halten unterschiedliche Erledigungsformen angezeigt sind, sind sie mit separaten Erledigun- gen abzuschliessen (z.B. Einstellungsverfügung und Anklage; vgl. Beschluss des Kantons- gerichts Graubünden SK2 14 60 vom 3. März 2015 E. II.1b m.w.H. [= PKG 2015 Nr. 20]). Eine implizite Einstellung liegt namentlich vor, wenn die Staatsanwaltschaft durch den Straf- befehl oder die Anklageerhebung nur einen Teil der inkriminierten Taten ahndet oder anklagt, im Übrigen aber keine formelle Einstellung erfolgt (BGE 138 IV 241 E. 2 [= Pra 2013 Nr. 29]). Der Grundsatz der Verfahrenseinheit (Art. 29 StPO) verlangt, dass Straftaten gemeinsam verfolgt und beurteilt werden, wenn eine Person wegen mehrerer Straftaten verdächtigt, be- schuldigt oder angeklagt ist. In materieller Hinsicht ist dies namentlich für die Bildung einer Gesamtstrafe (Art. 49 StGB) wichtig. Daraus lässt sich im Umkehrschluss ableiten, dass beim Erlass eines Strafbefehls oder bei einer Anklageerhebung lediglich hinsichtlich eines Teils der inkriminierten Taten ohne gleichzeitigen Erlass einer Einstellungsverfügung für die übrigen Punkte (oder ohne Mitteilung nach Art. 318 Abs. 1 StPO) im Regelfall von einer im- pliziten Einstellung betreffend die übrigen Punkte auszugehen ist. Ein solches Vorgehen kann ohne Zuwarten auf eine allfällige förmliche Einstellung angefochten werden (vgl. Be- schluss des Kantonsgerichts Graubünden SK2 14 60 vom 3. März 2015 E. II.1b m.w.H. [= PKG 2015 Nr. 20]).</w:t>
      </w:r>
    </w:p>
    <w:p>
      <w:r>
        <w:rPr>
          <w:b/>
        </w:rPr>
        <w:t>E. 3.2</w:t>
      </w:r>
    </w:p>
    <w:p>
      <w:r>
        <w:t>Nicht um eine implizite (Teil-)Einstellung handelt es sich, wenn in der Anklageschrift nicht notwendige Details unerwähnt bleiben. Nach dem in Art. 9 Abs. 1 StPO festgeschriebenen Anklagegrundsatz bestimmt die Anklage- schrift den Gegenstand des Gerichtsverfahrens (Umgrenzungsfunktion). Die Anklage hat die der beschuldigten Person zur Last gelegten Delikte in ihrem Sachverhalt so präzise zu um- schreiben, dass die Vorwürfe in objektiver und subjektiver Hinsicht genügend konkretisiert sind. Zugleich bezweckt das Anklageprinzip den Schutz der Verteidigungsrechte der ange- schuldigten Person und garantiert den Anspruch auf rechtliches Gehör (Informationsfunkti- on). Diese muss aus der Anklage ersehen können, was ihr konkret vorgeworfen wird, damit</w:t>
      </w:r>
    </w:p>
    <w:p>
      <w:r>
        <w:t>Seite 6/14 sie ihre Verteidigungsrechte angemessen ausüben kann. Dies bedingt eine zureichende, d.h. möglichst kurze, aber genaue (Art. 325 Abs. 1 lit. f StPO) Umschreibung der Sachverhalts- elemente, die für eine Subsumtion unter die anwendbaren Straftatbestände erforderlich sind. Entscheidend ist, dass die betroffene Person genau weiss, welcher konkreter Handlungen sie beschuldigt und wie ihr Verhalten rechtlich qualifiziert wird, damit sie sich in ihrer Vertei- digung richtig vorbereiten kann (BGE 143 IV 63 E. 2.2). Ungenauigkeiten sind so lange nicht von entscheidender Bedeutung, als für die beschuldigte Person keine Zweifel darüber beste- hen, welches Verhalten ihr angelastet wird (vgl. Urteil des Bundesgerichts 6B_28/2018 vom</w:t>
      </w:r>
    </w:p>
    <w:p>
      <w:r>
        <w:rPr>
          <w:b/>
        </w:rPr>
        <w:t>E. 3.3</w:t>
      </w:r>
    </w:p>
    <w:p>
      <w:r>
        <w:t>Im Zusammenhang mit dem angeblich "unterpreisigen" Verkauf der abc.________- Liegenschaften wird in der Anklageschrift unter anderem Folgendes aufgeführt: Das Ver- kaufsmandat für die abc.________-Liegenschaften hätten die Beschuldigten G.________ und K.________ auch keinem der anlässlich der Verwaltungsratssitzungen vom 20. Januar 2016 festgelegten Broker erteilt, sondern am 16. März 2017 den Immobilienmakler N.________ damit beauftragt. Sie hätten ihm den Auftrag erteilt, die "Liegenschaften Nr. b.________, a.________, c.________ zu einem Preis von MCHF 20 oder bestens" zu ver- kaufen. Mit öffentlichen Urkunden vom 14. September 2017 hätten G.________ und K.________ namens der A.________ AG und namens der B.________ AG die abc.________-Liegenschaften an J.________ zu einem Gesamtpreis von CHF 16 Mio. ver- kauft. Der Käufer sei G.________ und K.________ von O.________ AG in ________ (Ge- meinde/ZG) vermittelt worden. Der Geschäftsführer einer juristischen Person sei in fremdem Interesse tätig und habe demgemäss eine Fürsorgepflicht für deren Vermögenswerte. Ver- äussere er einen Vermögenswert, so habe er für eine angemessene Gegenleistung zu sor- gen. Mit dem Verkauf an J.________ zum Preis von CHF 16 Mio., der nur gerade knapp CHF 1 Mio. über dessen erstem Angebot gelegen habe, und ohne dessen Angebot in Frage zu stellen und zu optimieren, hätten G.________ und K.________ ihre Pflicht als geschäfts- führende Verwaltungsräte der genannten Gesellschaften zur sorgfältigen Aufgabenerfüllung und Wahrung der Interessen der Gesellschaften verletzt. Sie hätten es in der Hand gehabt bzw. wären als Geschäftsführer verpflichtet gewesen, hier zuhanden der Vermögenswerte der Gesellschaften mehr herauszuholen (act. 1/1 Rz 2.2.6-2.2.8).</w:t>
      </w:r>
    </w:p>
    <w:p>
      <w:r>
        <w:rPr>
          <w:b/>
        </w:rPr>
        <w:t>E. 3.4</w:t>
      </w:r>
    </w:p>
    <w:p>
      <w:r>
        <w:t>Die Beschwerdeführerinnen machen in der Beschwerde geltend, im Nachgang zur Revision des Raumplanungs- und Baugesetzes des Kantons Zug (PBG) in den Jahren 2012/2013 ha- be eine erhebliche Bauverdichtung angestanden und sei in der Folge mit einer "markanten Wertsteigerung" zu rechnen gewesen. Durch die pflichtwidrige faktische Liquidation vor dem Eintritt der öffentlich angekündigten Bauverdichtung hätten die Beschuldigten die imminente "markante Wertsteigerung" dem Käufer der Grundstücke verschenkt, was die Staatsanwalt- schaft mit keinem Wort würdige (act. 1 Rz 38).</w:t>
      </w:r>
    </w:p>
    <w:p>
      <w:r>
        <w:rPr>
          <w:b/>
        </w:rPr>
        <w:t>E. 3.5</w:t>
      </w:r>
    </w:p>
    <w:p>
      <w:r>
        <w:t>Ob der Vorwurf des verfrühten Verkaufs zufolge zu erwartender Wertsteigerung in der Ankla- geschrift enthalten ist oder nicht, kann offenbleiben. Selbst wenn er nämlich nicht enthalten wäre und demnach das Strafverfahren implizit eingestellt worden wäre, wäre diese implizite Einstellung zu Recht erfolgt, wie zu zeigen ist. 4. Bevor geprüft wird, ob die allfällige (implizite) Einstellung zu Recht erfolgt ist, ist auf die Rüge der Beschwerdeführerinnen einzugehen, wonach die Staatsanwaltschaft ihr rechtliches</w:t>
      </w:r>
    </w:p>
    <w:p>
      <w:r>
        <w:t>Seite 7/14 Gehör verletzt bzw. eine Rechtsverweigerung begangen habe, weil sie vor der Einstellung keine Schlussmitteilung nach Art. 318 Abs. 1 StPO erlassen habe (vgl. act. 1 Rz 20-23). 4.1 Erachtet die Staatsanwaltschaft die Untersuchung als vollständig, so erlässt sie einen Straf- befehl oder kündigt den Parteien mit bekanntem Wohnsitz schriftlich den bevorstehenden Abschluss an und teilt ihnen mit, ob sie Anklage erheben oder das Verfahren einstellen will. Gleichzeitig setzt sie den Parteien eine Frist, um Beweisanträge zu stellen (Art. 318 Abs. 1 StPO). In der Lehre wird die Ansicht vertreten, dass Geschädigte, die sich bislang noch nicht als Privatkläger konstituiert haben, auf die entsprechende Frist hinzuweisen sind (vgl. Bot- schaft zur Änderung der Strafprozessordnung vom 28. August 2019, BBl 2019 S. 6758 mit Hinweisen). Mit Art. 318 Abs. 1bis StPO (Inkrafttreten am 1. Januar 2024) wurde diese Pflicht nun gesetzlich verankert: Gemäss diesem neuen Absatz teilt die Staatsanwaltschaft den ge- schädigten Personen mit bekanntem Wohnsitz, die noch nicht über ihre Rechte informiert wurden, schriftlich mit, dass sie einen Strafbefehl erlassen, Anklage erheben oder das Ver- fahren durch Einstellung abschliessen will, und setzt ihnen eine Frist, innerhalb welcher sie sich als Privatklägerschaft konstituieren und Beweisanträge stellen können (vgl. Wiprächti- ger/Hans/Steiner, Basler Kommentar, 3. A. 2023, Art. 318 StPO N 2). 4.2 Art. 318 StPO ist Ausfluss des Grundsatzes des rechtlichen Gehörs. Dieser besagt, dass eine Behörde, die einen Entscheid erlassen will, der in die Rechtsstellung eines Einzelnen eingreift, diesen darüber zuvor in Kenntnis setzen und ihm Gelegenheit geben muss, sich vorgängig dazu zu äussern. Der Erlass einer Schlussverfügung ist bei beabsichtigter Verfah- renserledigung durch Anklage oder Einstellung zwingend (vgl. Urteil des Bundesgerichts 6B_98/2016 vom 9. September 2016 E. 3.3). Durch die Schlussverfügung wird den Verfah- rensbeteiligten die Gelegenheit gegeben, zur geplanten Verfahrenserledigung Stellung zu nehmen, Beweisanträge zu stellen und sich zu ihren Entschädigungs- und Genugtuungsan- sprüchen nach Art. 429 StPO zu äussern. Der Anspruch auf rechtliches Gehör ist formeller Natur, womit seine Verletzung grundsätzlich zur Aufhebung des angefochtenen Entscheids führt, unabhängig davon, ob die Gewährung des rechtlichen Gehörs den Ausgang der mate- riellen Streitentscheidung zu beeinflussen vermag. Eine nicht besonders schwerwiegende Verletzung kann gemäss ständiger bundesgerichtlicher Rechtsprechung ausnahmsweise ge- heilt werden, wenn die betroffene Person die Möglichkeit erhält, sich vor einer Rechtsmitte- linstanz zu äussern, die über die gleiche Kognition in Sachverhalts- wie auch Rechtsfragen verfügt wie die Vorinstanz. Eine solche Heilung soll die Ausnahme bleiben. Das Bundesge- richt nimmt bei der Beurteilung, ob ein Mangel geheilt werden kann, eine Interessenabwä- gung vor, in der die Interessen des Betroffenen an einem raschen Verfahren mit den Interes- sen an einem korrekten Verfahren abgewogen werden. Eine Heilung wird nur zugelassen, wenn die Interessen an einer beförderlichen Verurteilung im Vordergrund stehen und die Rückweisung der Sache an die Vorinstanz zu einem formalistischen Leerlauf und damit zu einer unnötigen Verfahrensverzögerung führen würde (statt Vieler: Wiprächtiger/Hans/ Stei- ner, a.a.O., Art. 318 StPO N 19; Urteil des Bundesgerichts 6B_819/2018 vom 25. Januar 2019 E. 3.8; je m.w.H.). Gemäss bundesgerichtlicher Praxis ist eine Heilung der Gehörsver- letzung da angezeigt, wo die Aufhebung des Entscheids und die Rückweisung mit dem Inter- esse der betroffenen Partei an der beförderlichen Beurteilung der Sache nicht vereinbar sind (statt Vieler: Wiprächtiger/Hans/Steiner, a.a.O., Art. 318 StPO N 20 m.w.H.).</w:t>
      </w:r>
    </w:p>
    <w:p>
      <w:r>
        <w:t>Seite 8/14 4.3 Das rechtliche Gehör der Beschwerdeführerinnen wurde verletzt, indem die Staatsanwalt- schaft es unterliess, ihnen vor der Anklageerhebung und der damit allenfalls verbundenen (impliziten) Teileinstellung eine Schlussverfügung zuzustellen. Diese Verletzung wiegt aller- dings aus folgenden Gründen nicht schwer: Zunächst einmal ist nicht erkennbar und wird von den Beschwerdeführerinnen nicht geltend gemacht, welche Vorbringen sie hätten vortragen und welche Beweisanträge sie hätten stel- len wollen. Die Rechtsprechung des Bundesgerichts, wonach der Gehörsanspruch formeller Natur ist, darf nicht darüber hinwegtäuschen, dass auch die Wahrung des rechtlichen Gehörs keinen Selbstzweck darstellt (Urteil des Bundesgericht 4A_438/2019 vom 23. Oktober 2019 E. 2). Vielmehr hat die beschwerdeführende Partei in der Begründung des Rechtsmittels an- zugeben, welche Vorbringen sie bei Gewährung des rechtlichen Gehörs in das Verfahren eingeführt hätte und inwiefern diese hätten erheblich sein können (Urteil des Bundesgerichts 5A_561/2018 vom 14. Dezember 2018 E. 2.3). Eine Rückweisung an die Staatsanwaltschaft würde zudem zu einer unnötigen Verlängerung des Verfahrens verführen, da die Verfahrens- leitung am Strafgericht des Kantons Zug – mit oder ohne Antrag der Beschwerdeführerinnen – wird prüfen müssen, ob die Anklage zu ergänzen ist (Art. 329 Abs. 2 StPO). Hinzu kommt, dass der Sachverhalt in diesem Punkt (verfrühter Verkauf zufolge zu erwartender Wertsteige- rung) nicht komplex ist, sodass die Rückweisung an die Staatsanwaltschaft auch insofern zu einem formalistischen Leerlauf verkommen würde. Einen schweren Eingriff in die Verfahrens- rechte der Beschwerdeführerinnen stellt die allfällige implizite Einstellung betreffend den – hier ohnehin untergeordneten – Lebenssachverhalt nicht dar. Solcherlei behaupten die Be- schwerdeführerinnen im Übrigen auch nicht. Angesichts dessen, dass die Strafuntersuchung gegen die Beschuldigten G.________ und K.________ bereits seit dem Jahr 2017 im Gange ist, ist das Interesse an einer beförderlichen Beurteilung, das durch die Rückweisung beein- trächtigt würde, deutlich höher zu gewichten. Schliesslich fällt ins Gewicht, dass die Be- schwerdeführerinnen nirgends beantragen, die Angelegenheit sei an die Staatsanwaltschaft zur Neubeurteilung bzw. zum Erlass einer Schlussverfügung zurückzuweisen. Nach dem Ge- sagten ist ausnahmsweise auf eine Rückweisung zu verzichten. 5. Entsprechend hat vorliegend die Beschwerdeinstanz direkt darüber zu befinden, ob die allfäl- lige implizite Einstellung zu Recht erfolgte. 5.1 Die Staatsanwaltschaft verfügt die vollständige oder teilweise Einstellung des Verfahrens, wenn kein Straftatbestand erfüllt ist oder wenn kein Tatverdacht erhärtet ist, der eine Anklage rechtfertigt (Art. 319 Abs. 1 lit. a und b StPO). Der Entscheid über die Einstellung eines Ver- fahrens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etwa die Waage, muss umso eher angeklagt werden, je schwerer das Delikt wiegt (BGE 143 IV 241 E. 2.2.1; 138 IV 186 E. 4.1; Urteil des Bundesge- richts 1B_122/2012 vom 12. April 2012 E. 5 m.H.). 5.2 Nach dem Tatbestand der ungetreuen Geschäftsbesorgung im Sinne von Art. 158 Ziff. 1 StGB wird bestraft, wer auf Grund des Gesetzes, eines behördlichen Auftrages oder eines</w:t>
      </w:r>
    </w:p>
    <w:p>
      <w:r>
        <w:t>Seite 9/14 Rechtsgeschäfts damit betraut ist, das Vermögen eines andern zu verwalten oder eine sol- che Vermögensverwaltung zu beaufsichtigen, und dabei unter Verletzung seiner Pflichten bewirkt oder zulässt, dass der andere am Vermögen geschädigt wird (Abs. 1). Handelt der Täter in der Absicht, sich oder einen andern unrechtmässig zu bereichern, so kann auf Frei- heitsstrafe von einem Jahr bis zu 5 Jahren erkannt werden (Abs. 3). Die im Gesetz nicht näher umschriebene Tathandlung der ungetreuen Geschäftsbesorgung besteht in der Verletzung jener spezifischen Pflichten, die den Täter in seiner Stellung als Geschäftsführer generell, aber auch bezüglich spezieller Geschäfte zum Schutz des Auftrag- gebers bzw. des Geschäftsherrn treffen. Die entsprechenden Pflichten ergeben sich aus dem jeweiligen Grundverhältnis. Pflichtwidrig im Sinne von Art. 158 Ziff. 1 Abs. 1 StGB handelt, wer als Vermögensverwalter ein unerlaubtes Geschäftsrisiko eingeht, indem er Weisungen des Klienten missachtet. Tätigkeiten, die sich im Rahmen einer ordnungsgemässen Ge- schäftsführung halten, sind nicht tatbestandsmässig, selbst wenn die geschäftlichen Disposi- tionen zu einem Verlust führen. Strafbar ist einzig das Eingehen von Risiken, die ein umsich- tiger Geschäftsführer in derselben Situation nicht eingehen würde. Es ist daher in einem sol- chen Fall ex ante zu bestimmen, ob die eingegangenen Risiken den getroffenen Vereinba- rungen oder Weisungen des Auftraggebers zuwiderlaufen (BGE 142 IV 346 E. 3.2). 5.3 Die Beschwerdeführerinnen zitieren unter anderem folgende Passage aus einem Bundesge- richtsurteil: "Weiter kann ihr [der dortigen Verkäuferin einer Liegenschaft] vorgeworfen wer- den, die Liegenschaft (selbst bei einem erzielten Gewinn) zum falschen Zeitpunkt (etwa bei sich abzeichnenden steigenden Preisen zu früh) verkauft zu haben" (Urteil 6B_824/2011 E. 4.3.1). Wenn im Verkaufszeitpunkt, so die Beschwerdeführerinnen, bereits erhebliche Wertsteigerungen für die veräusserten Grundstücke objektiv dokumentiert und voraussehbar gewesen seien sowie seitens der Beschuldigten unzweifelhaft vorausgesehen worden seien, gehe damit der Verdacht pflichtwidrig verfrühter Veräusserung denknotwendig einher (act. 1 Rz 45 f.). 5.4 Es ist allgemein bekannt, dass im schweizweiten Durchschnitt wie auch (sogar noch mehr) im Kanton Zug die Immobilienpreise in den letzten zwölf Jahren markant angestiegen sind und der Anstieg – zumindest im Kanton Zug – auch in diesen jeweiligen Jahren stetig pro- gnostiziert wurde. Dies gilt unabhängig von der Revision des Zuger RPG. Würde indes dem Argument der Beschwerdeführerinnen gefolgt, wonach gewissermassen die Wertsteigerung hätte abgewartet werden müssen, ehe hätte verkauft werden dürfen, dann hätte sich grundsätzlich jedes Organ einer Schweizer oder Zuger Gesellschaft, das in den letzten zwölf Jahren eine Immobilie verkaufte, ohne dabei eine antizipierte Wertsteigerung im Kaufpreis zu berücksichtigen, strafbar gemacht. Bereits insofern ist der Vorwurf der Beschwerdeführerin- nen betreffend den verfrühten Verkauf unbegründet. 5.5 Den Beschuldigten G.________ und K.________ kann mit dem Nicht-Zuwarten mit dem Ver- kauf im vorliegenden Kontext sodann auch keine Sorgfaltspflichtverletzung im Sinne von Art. 158 Ziff. 1 StGB vorgeworfen werden, die so schwer wöge, dass sie einen Eventualvor- satz begründete (zur Schwelle zwischen Fahrlässigkeit und Eventualvorsatz vgl. Urteil des Bundesgerichts 6B_1115/2022 vom 22. November 2023 E. 2.2.3). Künftige Wertsteigerungen sind kaum quantifizierbar. Um aber einen Entscheid darüber treffen zu können, wie lange mit dem Verkauf hätte zugewartet werden müssen, wäre es unabdingbar gewesen, dass die Be-</w:t>
      </w:r>
    </w:p>
    <w:p>
      <w:r>
        <w:t>Seite 10/14 schuldigten die Wertsteigerungen überhaupt hätten prognostizieren und quantifizieren kön- nen. Die Beschwerdeführerinnen machen in ihrer Beschwerde aber keine Ausführungen da- zu, welcher Betrag der Wertsteigerung damals (mithin nicht retrospektiv) hätte beigemessen werden müssen bzw. inwiefern eine Quantifizierung überhaupt möglich war. Sie zeigen auch nicht auf, ab wann aus ihrer Sicht ein Verkauf – unter wirtschaftlichen Gesichtspunkten – nicht mehr sorgfaltswidrig gewesen wäre. 5.6 Die Beschwerdeführerinnen legen ausserdem selbst dar, dass sich G.________ und K.________ bei der Verkaufstransaktion von Rechtsanwalt P.________ hätten beraten las- sen und er "ein ausgewiesener Immobilienexperte" sei (act. 1 Rz 47a). Würde dieser Darstel- lung der Beschwerdeführerinnen gefolgt, dann wäre die Sorgfaltswidrigkeit gemäss Art. 158 Ziff. 1 StGB aufgrund des Beizugs eines "ausgewiesenen Immobilienexperten" ganz zu ver- neinen. Aus demselben Grund fehlte es auch an einem Vorsatz bezüglich des Missbrauchs gemäss Art. 158 Ziff. 2 StGB. Die Beschwerdeführerinnen nennen im Übrigen keinerlei Indi- zien, wonach Rechtsanwalt P.________ die Beschuldigten G.________ und K.________ auf die Wertsteigerungsproblematik hingewiesen hätte. Sie mutmassen bloss, es sei "kaum vor- stellbar", dass dies nicht thematisiert worden sei (act. 1 Rz 47a). Angesichts der zahlreichen Dokumente und Befragungsprotokolle, über welche die Beschwerdeführerinnen aufgrund des gesamten Verfahrenskomplexes verfügen, hätten sie jedoch mehr als blosse Mutmassungen anstellen können, wenn ihre Darstellung zutreffend wäre. Auch angesichts dessen erfolgte eine allfällige (implizite) Teileinstellung zu Recht. 5.7 Mithin fehlen Beweismittel und Anhaltspunkte, die nahelegen, dass die Beschuldigten "durch verfrühte (da in Missachtung eine vorhergesehenen, imminenten Wertsteigerung erfolgte) Veräusserung" der abc.________-Liegenschaften pflichtwidrig oder missbräuchlich im Sinne von Art. 158 StGB gehandelt hätten. Ein entsprechender Verdacht lässt sich offensichtlich nicht erhärten. Eine allfällige implizite Teileinstellung erfolgte somit zu Recht. Ziffer 2 des Rechtsbegehrens der Beschwerdeführerinnen sowie Ziffer 3 – soweit sich diese auf Ziffer 2 bezieht – sind somit abzuweisen. 6. Die Beschwerdeführerinnen stören sich im Weiteren daran, dass in der Anklageschrift bloss ein Mindestschaden "angeklagt" worden sei (Ziffer 4 ihres Rechtsbegehrens). Der Schaden im Vermögensstrafrecht, so die Beschwerdeführerinnen, sei zwingend zu beziffern. 6.1 Ein Vermögensschaden im Sinne von Art. 146 oder Art. 158 StGB muss nicht genau beziffert werden. Für die Beurteilung, ob eine ungetreue Geschäftsbesorgung begangen worden ist, genügt die Feststellung des Umstands, dass die geschädigte Partei einen Schaden erlitten hat (Urteil des Bundesgerichts 6B_140/2020 vom 3. Juni 2021 E. 3.4.3). 6.2 Die Staatsanwaltschaft führte in der Anklageschrift aus, die angemessene Gegenleistung beim Verkauf der abc.________-Liegenschaften sei vor dem Hintergrund der aktenkundigen Richtwerte zu prüfen. In der Folge präsentierte sie eine Übersicht mit "Schätzungen/Kauf- offerten/Richtwerte". Danach hielt sie fest, der Schaden aus "unterpreisigem" Verkauf einer Immobilie sei grundsätzlich nur anhand effektiv vorhandener Alternativen zu bestimmen. Eine echte Alternative zum Käufer J.________ habe im Zeitpunkt des Verkaufs nicht vorgelegen. Hingegen würden G.________ und K.________ selber davon ausgehen, dass sie die Lie- genschaften zu einem Gesamtpreis von "MCHF 20 oder bestens" verkaufen könnten bzw.</w:t>
      </w:r>
    </w:p>
    <w:p>
      <w:r>
        <w:t>Seite 11/14 hätten sie sich in einer Immobilienstudie auf seinerzeit vorhandene Alternativen über CHF 19-20 Mio. bezogen, worauf sie zu behaften seien. Mithin sei von einem Schaden und von einem Deliktsbetrag von mindestens CHF 3 Mio. [Differenz zwischen CHF 19 Mio. und dem Kaufpreis von CHF 16 Mio.] auszugehen (act. 1/1 Ziff. 2.3). 6.3 Die Anklage der Staatsanwaltschaft vom 12. Dezember 2023 beinhaltete – nebst der recht- lichen Begründung des Mindestbetrages des Vermögensschadens – auch entsprechende Beweismittel sowie eine Wertung, dass zur Schadensermittlung nicht (nur) auf Gutachten abgestellt werden könne, sondern effektiv vorhandene Alternativen zu prüfen seien. Betref- fend die Beweiswürdigung oder die Wertung besteht keine Bindungswirkung der Anklage. Die Art und Höhe des Vermögensschadens unterliegt der rechtlichen Auslegung und der Be- weiswürdigung durch das Strafgericht. Ein Vermögensschaden muss in der Anklageschrift behauptet werden, indessen ergeben sich Art des Vermögensschadens und der Nachweis des Vermögensschadens aus der Rechtsauslegung und der Würdigung der Beweise (vgl. Ur- teil des Bundesgerichts 6B_199/2011 vom 10. April 2012 E. 3.6.1). 6.4 Nach dem Gesagten war eine exakte Bezifferung des Schadens in der Anklageschrift hinsicht- lich der strafrechtlichen Würdigung nicht erforderlich. Die Beschwerdeführerinnen nennen keine Präjudizien oder Lehrmeinungen, aus denen sich Gegenteiliges ergibt. Sie verweisen bloss unspezifisch ("N 256 ff. zu Art. 146 StGB m.w.H.") auf den Basler Kommentar (Maeder/ Niggli, Basler Kommentar, 4. A. 2019). Maeder/Niggli verlangen zwar eine Bezifferung, dies jedoch mit den Argumenten, es solle damit verhindert werden, dass eine Schädigung nur auf normative sprachliche Wendungen abgestützt werde (N 257), und das Gericht werde so ge- zwungen, sich mit den tatsächlichen Auswirkungen auf das Vermögen des Geschädigten auseinanderzusetzen (N 259). Mit der Angabe eines Mindestwertes ist jedoch diesen Erfor- dernissen – selbst wenn man dieser Lehrmeinung folgen wollte – bereits Genüge getan. Zu beachten ist aber, dass diese Meinung nicht der vorerwähnten bundesgerichtlichen Recht- sprechung entspricht und offenbar auch von keinen anderen Autoren geteilt wird (entspre- chende Hinweise fehlen jedenfalls im Kommentar). Es besteht vorliegend kein Grund, von der bundesgerichtlichen Rechtsprechung abzuweichen. 6.5 Ziffer 4 des Rechtsbegehrens der Beschwerdeführerinnen ist daher ebenfalls abzuweisen.</w:t>
      </w:r>
    </w:p>
    <w:p>
      <w:r>
        <w:rPr>
          <w:b/>
        </w:rPr>
        <w:t>E. 7</w:t>
      </w:r>
    </w:p>
    <w:p>
      <w:r>
        <w:t>Schliesslich beantragen die Beschwerdeführerinnen, dass die implizite Einstellung mit Bezug auf Anklagesachverhalt 3 (Vermögensentzug in Escrow-Geflecht) im CHF 195'333.26 über- steigenden Umfang aufzuheben sei (Ziffer 5 des Rechtsbegehrens).</w:t>
      </w:r>
    </w:p>
    <w:p>
      <w:r>
        <w:rPr>
          <w:b/>
        </w:rPr>
        <w:t>E. 7.1</w:t>
      </w:r>
    </w:p>
    <w:p>
      <w:r>
        <w:t>Die Beschwerde in Strafsachen ist zu begründen (Art. 396 Abs. 1 StPO). Dies bedeutet, dass der Beschwerdeführer anzugeben hat, welche Gründe einen anderen Entscheid nahelegen. Es ist schlüssig darzulegen, dass und weshalb ein Beschwerdegrund – eine Rechtsverlet- zung, eine unvollständige oder unrichtige Feststellung des Sachverhalts oder eine Unange- messenheit (Art. 393 Abs. 2 StPO) – gegeben ist. Schliesslich muss sich die Beschwerdebe- gründung mindestens in minimaler Form mit den Erwägungen des angefochtenen Entschei- des auseinandersetzen; eine bloss pauschale Bestreitung und Verweise auf Rechtsschriften in anderen Verfahren genügen nicht (Guidon, Basler Kommentar, 3. A. 2023, Art. 396 StPO N 9c m.H.).</w:t>
      </w:r>
    </w:p>
    <w:p>
      <w:r>
        <w:t>Seite 12/14</w:t>
      </w:r>
    </w:p>
    <w:p>
      <w:r>
        <w:rPr>
          <w:b/>
        </w:rPr>
        <w:t>E. 7.2</w:t>
      </w:r>
    </w:p>
    <w:p>
      <w:r>
        <w:t>Die Staatsanwaltschaft stellte in der Anklageschrift in Bezug auf die Schadensbemessung zwei Grössen dar, einerseits den "Saldierungsschaden" durch praktisch vollständige Saldie- rungen der bestehenden Bankkonten und andererseits den "Escrow-bezogenen Schaden" durch kausal entstandene Kosten für das Escrow-Verhältnis sowie für ohne Ermächtigung vorgenommene Zahlungen durch die Verwaltungsräte nach deren Abwahl per 27. August 2019. Weiter führte die Staatsanwaltschaft aus, dass Kontobelastungen, bei denen es sich nicht um kausal durch das Escrow-Verhältnis entstandenen Aufwand handle bzw. welche vor dem 27. August 2019 in Auftrag gegeben worden seien, in den Tabellen zufolge fehlender Tatbestandsmässigkeit nicht aufgeführt würden. Demgemäss handle es sich bei den Rück- saldierungen um Beträge, die nicht aus den Tabellen selber errechnet werden könnten, son- dern sich aus den Bankbelegen gemäss den jeweils aufgeführten Aktenverweisen ergäben (act. 1/1 S. 41). In der Folge führte die Staatsanwaltschaft in der Anklageschrift tabellarisch betreffend alle drei Beschwerdeführerinnen die Höhe der jeweiligen Kontosaldierungen, die Höhe bestimmter Transaktionen mit den Vermerken "kausal Escrow" oder "ohne Ermächti- gung" sowie die Höhe der jeweiligen Rücksaldierungen auf (act. 1/1 S. 42-49).</w:t>
      </w:r>
    </w:p>
    <w:p>
      <w:r>
        <w:rPr>
          <w:b/>
        </w:rPr>
        <w:t>E. 7.3</w:t>
      </w:r>
    </w:p>
    <w:p>
      <w:r>
        <w:t>Die Beschwerdeführerinnen machen in der Beschwerde geltend, die Staatsanwaltschaft habe beim Anklagesachverhalt 3 die Schäden aktenwidrig berechnet. Sie bemesse die Schäden wie folgt: CHF 54'109.09 sowie CHF 11'741.59 zulasten der B.________ AG (Beschwerde- führerin 2), CHF 38'698.89 sowie CHF 62'756.39 zulasten der A.________ AG (Beschwerde- führerin 1) und CHF 28'027.30 zulasten der C.________ AG (Beschwerdeführerin 3), total zulasten der drei Gesellschaften CHF 195'333.26. Die korrekte Berechnung der massgebli- chen Schäden ergebe demgegenüber höhere Schäden, nämlich CHF 170'776.48 bei der A.________ AG, CHF 187'450.82 bei der B.________ AG und CHF 42'832.00 bei der C.________ AG [total für alle drei Gesellschaften CHF 401'059.30]. Die Staatsanwaltschaft habe aktenwidrig einen insgesamt um CHF 205'726.04 [= CHF 401'059.30 ./. CHF 195'333.26] zu tiefen Schaden eingeklagt (act. 1 Rz 60-66).</w:t>
      </w:r>
    </w:p>
    <w:p>
      <w:r>
        <w:rPr>
          <w:b/>
        </w:rPr>
        <w:t>E. 7.4</w:t>
      </w:r>
    </w:p>
    <w:p>
      <w:r>
        <w:t>Die Beschwerdeführerinnen setzen sich in ihrer Beschwerde nicht hinreichend mit den Aus- führungen in der Anklageschrift auseinander. Sie stellen bloss die Beträge der Kontosaldie- rungen den Beträgen der Rücksaldierungen gegenüber und bezeichnen diese Differenz als massgeblichen ["Escrow-bezogenen"] Schaden. Die Staatsanwaltschaft führte in der Ankla- geschrift jedoch aus, dass sie unter dem "Escrow-bezogenen Schaden" jene Kontobelastun- gen, die nicht kausal durch das Escrow-Verhältnis entstanden oder vor dem 27. August 2019 in Auftrag gegeben worden seien, zufolge fehlender Tatbestandsmässigkeit nicht aufführe. Indem die Beschwerdeführer bloss die Differenz zwischen Kontosaldierung und Rücksaldie- rung errechnen, erachten sie die Positionen, die von der Staatsanwaltschaft als "nicht kausal durch das Escrow-Verhältnis" oder "vor dem 27. August 2019 in Auftrag gegeben" bewertet wurden, auch als Schadenspositionen. Dabei legen sie nicht dar, dass diese Schadensposi- tionen (die sie ohnehin nicht einzeln bezeichnen) kausal sind und folglich eine Tatbestands- mässigkeit gegeben ist. Mangels hinreichender Begründung ist daher auf Ziffer 5 des Rechts- begehrens der Beschwerdeführinnen nicht einzutreten. Ob die Staatsanwaltschaft mit dem Nicht-Anklagen der von den Beschwerdeführerinnen genannten Beträge das Strafverfahren implizit eingestellt hat, kann demnach offenbleiben.</w:t>
      </w:r>
    </w:p>
    <w:p>
      <w:r>
        <w:rPr>
          <w:b/>
        </w:rPr>
        <w:t>E. 8</w:t>
      </w:r>
    </w:p>
    <w:p>
      <w:r>
        <w:t>Bei diesem Ausgang des Verfahrens ist auf den Antrag gemäss Ziffer 6 des Rechtsbegeh- rens, wonach zusätzlich die Rechtsverweigerung seitens der Staatsanwaltschaft im Zusam-</w:t>
      </w:r>
    </w:p>
    <w:p>
      <w:r>
        <w:t>Seite 13/14 menhang mit der impliziten Einstellung festzustellen sei, nicht einzutreten. Diesbezüglich fehlt es den Beschwerdeführerinnen ohnehin an einem eigenständigen Feststellungsinteres- se.</w:t>
      </w:r>
    </w:p>
    <w:p>
      <w:r>
        <w:rPr>
          <w:b/>
        </w:rPr>
        <w:t>E. 9</w:t>
      </w:r>
    </w:p>
    <w:p>
      <w:r>
        <w:t>Die Beschwerde ist mithin vollumfänglich abzuweisen, soweit darauf einzutreten ist. Die Kos- ten des Beschwerdeverfahrens sind den Beschwerdeführerinnen unter solidarischer Haftbar- keit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