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104 vom 21. März 2024</w:t>
      </w:r>
    </w:p>
    <w:p>
      <w:r>
        <w:t>ZG Obergericht, 2024-03-21, DE</w:t>
      </w:r>
    </w:p>
    <w:p>
      <w:r>
        <w:rPr>
          <w:b/>
        </w:rPr>
        <w:t xml:space="preserve">Quelle: </w:t>
      </w:r>
      <w:r>
        <w:t>https://mcp.opencaselaw.ch/entscheid/zg_obergericht_BS_2022_104</w:t>
      </w:r>
    </w:p>
    <w:p>
      <w:r>
        <w:t>FR: ZG_OBERGERICHT BS 2022 104 du 21 mars 2024</w:t>
      </w:r>
    </w:p>
    <w:p>
      <w:r>
        <w:t>IT: ZG_OBERGERICHT BS 2022 104 del 21 marzo 2024</w:t>
      </w:r>
    </w:p>
    <w:p>
      <w:pPr>
        <w:pStyle w:val="Heading2"/>
      </w:pPr>
      <w:r>
        <w:t>Regeste</w:t>
      </w:r>
    </w:p>
    <w:p>
      <w:r>
        <w:t>I. Beschwerdeabteilung</w:t>
      </w:r>
    </w:p>
    <w:p>
      <w:pPr>
        <w:pStyle w:val="Heading2"/>
      </w:pPr>
      <w:r>
        <w:t>Erwägungen</w:t>
      </w:r>
    </w:p>
    <w:p>
      <w:r>
        <w:rPr>
          <w:b/>
        </w:rPr>
        <w:t>E. 1</w:t>
      </w:r>
    </w:p>
    <w:p>
      <w:r>
        <w:t>Vorab ist in prozessualer Hinsicht festzuhalten, dass Rechtsanwalt C.________ zur Vertre- tung der Beschwerdeführerinnen befugt ist. Dies ist gerichtsnotorisch und die entsprechen- den Urteile sind den Parteien bekannt. Es ist diesbezüglich etwa auf den Beschluss des Obergerichts Zug BS 2022 5 vom 21. November 2023 E. 1.2 zu verweisen.</w:t>
      </w:r>
    </w:p>
    <w:p>
      <w:r>
        <w:t>Seite 4/6 Der Antrag von Rechtsanwalt C.________ auf Vereinigung der Beschwerdeverfahren ist ab- zuweisen. Die Gefahr von sich widersprechenden Entscheiden besteht nicht. Sachliche Gründe für eine Vereinigung nach Art. 30 StPO liegen nicht vor.</w:t>
      </w:r>
    </w:p>
    <w:p>
      <w:r>
        <w:rPr>
          <w:b/>
        </w:rPr>
        <w:t>E. 2</w:t>
      </w:r>
    </w:p>
    <w:p>
      <w:r>
        <w:t>Zu entscheiden bliebe somit darüber, ob die Staatsanwaltschaft die Beschlagnahme bzw. die Grundbuchsperren zu Recht auf einen Betrag von CHF 3'000'000.00 beschränkt hat. Wie je- doch das Obergericht Zug mit Beschluss vom 21. März 2024 im Verfahren BS 2022 105 ent- schieden hat, erfolgte die streitgegenständliche Beschlagnahme als solche zu Unrecht; das Obergericht hob die Grundbuchsperren auf. Es kann vorliegend ohne Weiteres auf die – den Parteien bekannten – Erwägungen und das Dispositiv des erwähnten Beschlusses verwiesen werden. Nachdem die Grundbuchsperren aufgehoben worden sind, kann über die fragliche betragsmässige Beschränkung dieser Sperren nicht mehr entschieden werden. Das vorlie- gende Beschwerdeerfahren ist daher zufolge Gegenstandslosigkeit abzuschreiben.</w:t>
      </w:r>
    </w:p>
    <w:p>
      <w:r>
        <w:rPr>
          <w:b/>
        </w:rPr>
        <w:t>E. 3</w:t>
      </w:r>
    </w:p>
    <w:p>
      <w:r>
        <w:t>Zu entscheiden ist somit noch über die Verfahrenskosten.</w:t>
      </w:r>
    </w:p>
    <w:p>
      <w:r>
        <w:rPr>
          <w:b/>
        </w:rPr>
        <w:t>E. 3.1</w:t>
      </w:r>
    </w:p>
    <w:p>
      <w:r>
        <w:t>Nach Art. 428 Abs. 1 StPO tragen die Parteien die Kosten des Rechtsmittelverfahrens nach Massgabe ihres Obsiegens oder Unterliegens. Zur Frage, wie die Kosten bei Gegenstands- losigkeit zu verteilen sind, äussert sich Art. 428 Abs. 1 StPO nicht. Tritt diese während der Hängigkeit des Rechtsmittels ein, ist für die Beurteilung der Kostenfolgen in erster Linie auf den mutmasslichen Prozessausgang abzustellen. Wie der Prozess mutmasslich ausgegan- gen wäre, ist bloss summarisch zu prüfen. Lässt sich der Prozessausgang nicht feststellen, so ist nach den allgemeinen prozessrechtlichen Kriterien jene Partei kostenpflichtig, die das Verfahren veranlasst hat oder bei der die Gründe eingetreten sind, die zur Gegenstandslo- sigkeit des Prozesses geführt haben (Urteil des Bundesgerichts 6B_1118/2016 vom 10. Juli 2017 E. 1.2.2 und 1.3.2 mit Hinweisen).</w:t>
      </w:r>
    </w:p>
    <w:p>
      <w:r>
        <w:rPr>
          <w:b/>
        </w:rPr>
        <w:t>E. 3.2</w:t>
      </w:r>
    </w:p>
    <w:p>
      <w:r>
        <w:t>Da vorliegend die Anordnung einer Grundbuchsperre als solche unzulässig war (vgl. Be- schluss des Obergerichts Zug BS 2022 105 vom 21. März 2024 E. 3), wären die Beschwer- deführerinnen mit ihrem Antrag auf Aufhebung der betragsmässigen Beschränkung unterle- gen. Folglich sind ihnen die Kosten des vorliegenden Beschwerdeverfahrens aufzuerlegen.</w:t>
      </w:r>
    </w:p>
    <w:p>
      <w:r>
        <w:rPr>
          <w:b/>
        </w:rPr>
        <w:t>E. 3.3</w:t>
      </w:r>
    </w:p>
    <w:p>
      <w:r>
        <w:t>Der Beschuldigte F.________ bzw. dessen amtlicher Verteidiger hat Anspruch auf eine Ent- schädigung. Diese ist nicht den Beschwerdeführerinnen aufzuerlegen, sondern aus der Staatskasse zu vergüten, weil die StPO keine gesetzliche Grundlage enthält, die es erlauben würde, der Privatklägerschaft die Kosten der amtlichen Verteidigung der beschuldigten Per- sonen aufzuerlegen (vgl. BGE 145 IV 90 E. 5.2; Urteil des Bundesgerichts 6B_16/2020 vom 27. Februar 2020 E. 6). Demnach ist Rechtsanwalt L.________, amtlicher Verteidiger des Beschuldigten F.________, angemessen aus der Staatskasse zu entschädigen. Angesichts dessen, dass er sich einzig zur Frage der Vertretungsbefugnis von Rechtsanwalt C.________, nicht aber zur Sache selbst vernehmen liess und er die identischen Standpunk- te auch in anderen Beschwerdeverfahren vorbrachte, ist eine Parteientschädigung von CHF 300.00 (inkl. MWST und Auslagen) angemessen. Der Beschuldigte J.________ und die K.________ liessen sich im Beschwerdeverfahren nicht vernehmen und stellten auch keinen Antrag auf Zusprechung einer Entschädigung.</w:t>
      </w:r>
    </w:p>
    <w:p>
      <w:r>
        <w:t>Seite 5/6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