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2021 8 vom 1. Juli 2021</w:t>
      </w:r>
    </w:p>
    <w:p>
      <w:r>
        <w:t>ZG Obergericht, 2021-07-01, DE</w:t>
      </w:r>
    </w:p>
    <w:p>
      <w:r>
        <w:rPr>
          <w:b/>
        </w:rPr>
        <w:t xml:space="preserve">Quelle: </w:t>
      </w:r>
      <w:r>
        <w:t>https://mcp.opencaselaw.ch/entscheid/zg_obergericht_BS_2021_8</w:t>
      </w:r>
    </w:p>
    <w:p>
      <w:r>
        <w:t>FR: ZG_OBERGERICHT BS 2021 8 du 1 juillet 2021</w:t>
      </w:r>
    </w:p>
    <w:p>
      <w:r>
        <w:t>IT: ZG_OBERGERICHT BS 2021 8 del 1 luglio 2021</w:t>
      </w:r>
    </w:p>
    <w:p>
      <w:pPr>
        <w:pStyle w:val="Heading2"/>
      </w:pPr>
      <w:r>
        <w:t>Regeste</w:t>
      </w:r>
    </w:p>
    <w:p>
      <w:r>
        <w:t>I. Beschwerdeabteilung</w:t>
      </w:r>
    </w:p>
    <w:p>
      <w:pPr>
        <w:pStyle w:val="Heading2"/>
      </w:pPr>
      <w:r>
        <w:t>Erwägungen</w:t>
      </w:r>
    </w:p>
    <w:p>
      <w:r>
        <w:rPr>
          <w:b/>
        </w:rPr>
        <w:t>E. 1</w:t>
      </w:r>
    </w:p>
    <w:p>
      <w:r>
        <w:t>Gemäss Art. 382 Abs. 1 StPO kann jede Partei, die ein rechtlich geschütztes Interesse an der Aufhebung oder Änderung eines Entscheides hat, ein Rechtsmittel ergreifen. Die Privat- klägerschaft kann den Entscheid hinsichtlich der ausgesprochenen Sanktion nicht anfechten (Art. 382 Abs. 2 StPO). Als Privatklägerschaft gilt die geschädigte Person, die ausdrücklich die Absicht ihrer Beteiligung am Strafverfahren als Straf- oder Zivilkläger erklärt hat (Art. 118 Abs. 1, 119 StPO). Geschädigt ist, wer durch die Straftat in seinen Rechten unmittelbar ver- letzt worden ist, d.h. wer Träger des durch die verletzte Strafnorm geschützten oder zumin- dest mitgeschützten Rechtsgutes ist (Art. 115 Abs. 1 StPO). Bei Straftatbeständen, die nicht</w:t>
      </w:r>
    </w:p>
    <w:p>
      <w:r>
        <w:t>Seite 5/7 primär Individualrechtsgüter schützen, gilt nur diejenige Person als Geschädigte, welche durch die darin umschriebenen Tathandlungen in ihren Rechten beeinträchtigt wird, sofern diese Beeinträchtigung unmittelbare Folge der tatbestandsmässigen Handlung ist. Nach der Rechtsprechung kann die Privatklägerschaft gestützt auf Art. 382 Abs. 1 StPO unter ande- rem Nichtanhandnahmen und Einstellungen mit Beschwerde sowie Freisprüche und rechtli- che Qualifikationen mittels Berufung anfechten. Dies gilt im kantonalen Verfahren unabhän- gig davon, ob sie tatsächlich Zivilansprüche geltend gemacht hat oder nicht, zumal sie sich auch bloss als Strafklägerin konstituieren kann (Art. 119 Abs. 2 lit. a StPO). Voraussetzung ist indes, dass sie Geschädigte ist, d.h. eine Person, deren Rechte durch die Straftat direkt verletzt worden sind (Urteil des Bundesgerichts 6B_917/2015 vom 23. Februar 2016 E. 2.2 mit Hinweisen).</w:t>
      </w:r>
    </w:p>
    <w:p>
      <w:r>
        <w:rPr>
          <w:b/>
        </w:rPr>
        <w:t>E. 2</w:t>
      </w:r>
    </w:p>
    <w:p>
      <w:r>
        <w:t>Die Tatbestände des Urkundenstrafrechts dienen dem Schutz von Sicherheit und Zuverläs- sigkeit des Rechtsverkehrs mit Urkunden. Sie bezwecken in erster Linie den Schutz der All- gemeinheit. Geschütztes Rechtsgut der Urkundendelikte ist das besondere Vertrauen, wel- ches von den Teilnehmern am Rechtsverkehr einer Urkunde als Beweismittel entgegenge- bracht wird. Neben der Allgemeinheit schützt der Tatbestand der Urkundenfälschung auch private Interessen des Einzelnen, soweit das Fälschungsdelikt sich auf die Benachteiligung einer bestimmten Person richtet. Dies ist namentlich der Fall, wenn das Urkundendelikt auf die Verfolgung eines weitergehenden, wirtschaftlichen Zwecks abzielt und insofern als blosse Vorbereitungshandlung eines schädigenden Vermögensdelikts erscheint. Dabei schützt der Tatbestand den Einzelnen davor, durch Scheinerklärungen oder qualifiziert unrichtige Er- klärungen getäuscht und dadurch zu nachteiligen rechtserheblichen Dispositionen veranlasst zu werden (Urteil des Bundesgerichts 6B_917/2015 vom 23. Februar 2016 E. 3.1 mit Hinwei- sen). Der Schutz der Strafbestimmung erfasst jedenfalls im Kontext der Urkundenfälschung i.e.S. regelmässig nur diejenigen Teilnehmer am Rechtsverkehr, denen gegenüber die fal- sche oder unwahre Urkunde gebraucht wird oder werden soll und die gestützt hierauf rechts- erhebliche Entscheidungen treffen könnten. Dazu gehört die Person, in deren Namen eine Erklärung fälschlicherweise unterzeichnet worden ist, offensichtlich nicht. Denn die Erklärung richtet sich nicht an diese, so dass sie sich für ihre rechtlich erheblichen Entscheidungen nicht an dieser orientieren kann und somit nicht unmittelbar beeinträchtigt wird (Urteil des Bundesgerichts 6B_917/2015 vom 23. Februar 2016 E. 3.2 mit Hinweisen).</w:t>
      </w:r>
    </w:p>
    <w:p>
      <w:r>
        <w:rPr>
          <w:b/>
        </w:rPr>
        <w:t>E. 3</w:t>
      </w:r>
    </w:p>
    <w:p>
      <w:r>
        <w:t>Die Beschwerdeführerinnen erblicken eine Urkundenfälschung im Amt darin, dass bei der öffentlichen Beurkundung der Kaufverträge über die Grundstücke in J.________ die rechts- erhebliche Tatsache der fehlenden Vertretungsmacht von R.________ und U.________ in Verletzung der notariellen Ermittlungs- bzw. Überprüfungspflicht falsch beurkundet worden sei. Gegenstand der geltend gemachten Urkundenfälschung bilden somit die von R.________ und U.________ namens der Beschwerdeführerinnen ohne Vertretungsmacht abgegebenen und von der Urkundsperson Y.________ öffentlich beurkundeten Erklärungen, die fraglichen Grundstücke an Z.________ zu verkaufen. Nach der zitierten Rechtsprechung des Bundesgerichts fallen die Beschwerdeführerinnen aber damit nicht unter den Schutz des Urkundenstrafrechts. Denn die beanstandeten Erklärungen von R.________ und U.________ richteten sich nicht an die Beschwerdeführerinnen. Die Beschwerdeführerinnen waren mithin keine Teilnehmerinnen am Rechtsverkehr, denen gegenüber die falsche oder unwahre Urkunde gebraucht wurde. Demgemäss wurden die Beschwerdeführerinnen nicht durch Scheinerklärungen oder qualifiziert unrichtige Erklärungen getäuscht und dadurch zu</w:t>
      </w:r>
    </w:p>
    <w:p>
      <w:r>
        <w:t>Seite 6/7 nachteiligen rechtserheblichen Dispositionen veranlasst. Sie sind daher nicht Geschädigte im Sinne der bundesgerichtlichen Rechtsprechung und somit nicht legitimiert, die Nichtanhand- nahme der Strafuntersuchung gegen die Beschuldigte und unbekannt betreffend Urkunden- fälschung im Amt mit Beschwerde anzufechten.</w:t>
      </w:r>
    </w:p>
    <w:p>
      <w:r>
        <w:rPr>
          <w:b/>
        </w:rPr>
        <w:t>E. 4</w:t>
      </w:r>
    </w:p>
    <w:p>
      <w:r>
        <w:t>Dies gilt auch, soweit die Beschwerdeführerinnen geltend machen, es liege eine Urkunden- fälschung im Amt vor, weil der Kaufvertrag trotz Fehlens eines Ausstandsgrundes nicht von der Beschuldigten, sondern von Y.________ beurkundet worden sei. Auch diesbezüglich kann nicht gesagt werden, die Beschwerdeführerinnen seien durch die von R.________ und U.________ in ihrem Namen abgegebenen Verkaufserklärungen getäuscht und dadurch zu nachteiligen rechtserheblichen Dispositionen veranlasst worden. Die gerügte Verletzung der Zuständigkeitsregelung erscheint denn auch nicht als blosse Vorbereitungshandlung zu ei- nem schädigenden Vermögensdelikt.</w:t>
      </w:r>
    </w:p>
    <w:p>
      <w:r>
        <w:rPr>
          <w:b/>
        </w:rPr>
        <w:t>E. 5</w:t>
      </w:r>
    </w:p>
    <w:p>
      <w:r>
        <w:t>Nach dem Gesagten sind die Beschwerdeführerinnen nicht Träger des durch die geltend gemachte Urkundenfälschung im engeren Sinne geschützten oder zumindest mitgeschützten Rechtsgutes und daher nicht geschädigt im Sinne von Art. 118 StPO. Demzufolge gelten sie im vorliegenden Verfahren nicht als Privatkläger, weshalb sie auch nicht zur Beschwerde legitimiert sind. Auf ihre Beschwerde kann daher nicht eingetreten werden.</w:t>
      </w:r>
    </w:p>
    <w:p>
      <w:r>
        <w:rPr>
          <w:b/>
        </w:rPr>
        <w:t>E. 6</w:t>
      </w:r>
    </w:p>
    <w:p>
      <w:r>
        <w:t>Bei diesem Ausgang sind die Kosten des vorliegenden Verfahrens den Beschwerdeführerin- nen unter solidarischer Haftbarkeit aufzuerlegen (Art. 428 Abs. 1 StPO).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