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56 vom 20. November 2025</w:t>
      </w:r>
    </w:p>
    <w:p>
      <w:r>
        <w:t>ZG Obergericht, 2025-11-20, DE</w:t>
      </w:r>
    </w:p>
    <w:p>
      <w:r>
        <w:rPr>
          <w:b/>
        </w:rPr>
        <w:t xml:space="preserve">Quelle: </w:t>
      </w:r>
      <w:r>
        <w:t>https://mcp.opencaselaw.ch/entscheid/zg_obergericht_BA_2025_56</w:t>
      </w:r>
    </w:p>
    <w:p>
      <w:r>
        <w:t>FR: ZG_OBERGERICHT BA 2025 56 du 20 novembre 2025</w:t>
      </w:r>
    </w:p>
    <w:p>
      <w:r>
        <w:t>IT: ZG_OBERGERICHT BA 2025 56 del 20 novembre 2025</w:t>
      </w:r>
    </w:p>
    <w:p>
      <w:pPr>
        <w:pStyle w:val="Heading2"/>
      </w:pPr>
      <w:r>
        <w:t>Regeste</w:t>
      </w:r>
    </w:p>
    <w:p>
      <w:r>
        <w:t>II. Beschwerdeabteilung%z%Aufsichtsbehörde über Schuldbetreibung und Konkurs</w:t>
      </w:r>
    </w:p>
    <w:p>
      <w:pPr>
        <w:pStyle w:val="Heading2"/>
      </w:pPr>
      <w:r>
        <w:t>Erwägungen</w:t>
      </w:r>
    </w:p>
    <w:p>
      <w:r>
        <w:rPr>
          <w:b/>
        </w:rPr>
        <w:t>E. 1</w:t>
      </w:r>
    </w:p>
    <w:p>
      <w:r>
        <w:t>Gemäss Art. 17 Abs. 1 und 2 SchKG kann mit Ausnahme der Fälle, in denen das SchKG den Weg der gerichtlichen Klage vorschreibt, gegen jede Verfügung eines Betreibungs- oder eines Konkursamtes innert 10 Tagen wegen Gesetzesverletzung oder Unangemessenheit Beschwerde bei der Aufsichtsbehörde geführt werden. Interkantonal sind die Aufsichtsbehör- den jenes Kantons zuständig, deren Behördenorganisation die Betreibungs- oder Konkurs- behörde, gegen welche sich die Beschwerde richtet, angehört. Gegen rechtshilfeweise vor- genommene Amtshandlungen nach Art. 4 SchKG ist die Beschwerde bei der dem ersuchen- den Amt vorgesetzten Aufsichtsbehörde einzureichen, mit Ausnahme der Fälle, in denen das ersuchte Amt über die Art und Weise des Vollzugs der requirierten Handlung selbständig be- stimmt (vgl. Cometta/Möckli, Basler Kommentar, 3. A. 2021, Art. 17 SchKG N 57 m.H.). Die vorliegende Beschwerde richtetet sich gegen Handlungen des Betreibungsamtes Zug. Die II. Beschwerdeabteilung des Obergerichts Zug als Aufsichtsbehörde über Schuldbetrei- bung und Konkurs ist daher örtlich (und sachlich) zuständig (vgl. § 13 Abs. 1 EG SchKG und § 21 Abs. 2 GOG).</w:t>
      </w:r>
    </w:p>
    <w:p>
      <w:r>
        <w:rPr>
          <w:b/>
        </w:rPr>
        <w:t>E. 2</w:t>
      </w:r>
    </w:p>
    <w:p>
      <w:r>
        <w:t>Juli 2025 rechtshilfeweise an D.________, einzige Geschäftsführerin und Gesellschafterin</w:t>
      </w:r>
    </w:p>
    <w:p>
      <w:r>
        <w:t>Seite 4/5 der Beschwerdeführerin, zu. Unbestrittenermassen erhob D.________ fristgerecht Rechts- vorschlag (vgl. act. 1/3-4, act. 4 S. 2, act. 4/1, act. 4/10).</w:t>
      </w:r>
    </w:p>
    <w:p>
      <w:r>
        <w:rPr>
          <w:b/>
        </w:rPr>
        <w:t>E. 2.1</w:t>
      </w:r>
    </w:p>
    <w:p>
      <w:r>
        <w:t>Sie bringt vor, der Zahlungsbefehl sei laut Unterlagen des Betreibungsamtes Zug bereits im März 2025 zweimal durch die Post zugestellt worden, danach als "nicht abgeholt" vermerkt und somit rechtsgültig zustellt worden. Dennoch sei der Zahlungsbefehl am 2. Juli 2025 ein zweites Mal zugestellt worden. Sodann habe C.________ (bevollmächtigter Vertreter) in ihrem Auftrag fristgerecht Rechtsvorschlag erhoben. Der Rechtsvorschlag sei mit dem Ver- merk "ungültig" versehen worden. Zudem sei der Zahlungsbefehl nicht am Sitz der Gesell- schaft in Zug, sondern an der Privatadresse der Gesellschafterin und Geschäftsführerin in F.________ zugestellt worden. Ausserdem sei der Zahlungsbefehl an "G.________" statt an D.________ adressiert gewesen. Die Zustellung an eine falsch bezeichnete natürliche Per- son sei unwirksam. Weiter sei dem Betreibungsamt Zug bereits am 25. Februar 2025 eine Vollmacht per E-Mail übermittelt worden. Dies sei ignoriert worden. Die Kombination all die- ser Umstände mache das Vorgehen des Betreibungsamtes Zug formell und materiell recht- widrig. Es bestehe der begründete Verdacht, dass die Betreibung gezielt während der Abwe- senheit ihrer Gesellschafterin und Geschäftsführerin eingeleitet worden sei, um die "einge- schränkte Verteidigungsfähigkeit" auszunutzen. Dieses Verhalten erfülle den Tatbestand der missbräuchlichen Betreibung (vgl. act. 1, 6 und 10).</w:t>
      </w:r>
    </w:p>
    <w:p>
      <w:r>
        <w:rPr>
          <w:b/>
        </w:rPr>
        <w:t>E. 2.2</w:t>
      </w:r>
    </w:p>
    <w:p>
      <w:r>
        <w:t>Wie den Akten zu entnehmen ist, stellte das Betreibungsamt Lugano den Zahlungsbefehl am</w:t>
      </w:r>
    </w:p>
    <w:p>
      <w:r>
        <w:rPr>
          <w:b/>
        </w:rPr>
        <w:t>E. 2.3</w:t>
      </w:r>
    </w:p>
    <w:p>
      <w:r>
        <w:t>Ob die Zustellung des Zahlungsbefehls vorliegend mangelhaft war, kann offenbleiben. Gemäss ständiger und von der Lehre bestätigter Rechtsprechung des Bundesgerichts er- weist sich die mangelhafte Zustellung einer Betreibungsurkunde nur dann als nichtig, wenn der Adressat diese gar nicht erhalten hat. Kommt ihm hingegen die Betreibungsurkunde gleich- wohl zu, so entfaltet sie ab Erhalt ihre Wirkungen. Handelt es sich wie im konkreten Fall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 forderungen an die Zustellung des Zahlungsbefehls beachtet worden sind, und diesen gege- benenfalls erneut zuzustellen (vgl. Urteil des Bundesgerichts 5A_847/2016 vom 31. Januar 2017 E. 4.4 m.H.). Demnach wäre die Zustellung vorliegend auch dann nicht zu wiederholen, wenn sie mit einem Mangel behaftet wäre, da die Beschwerdeführerin unbestrittenermassen rechtzeitig vom Zahlungsbefehl Kenntnis erhalten und fristgemäss Rechtsvorschlag erhoben hat (vgl. E. 2.2). Ob die Zustellung mangelhaft war, ist deshalb mangels Rechtsschutzinter- esses nicht zu prüfen.</w:t>
      </w:r>
    </w:p>
    <w:p>
      <w:r>
        <w:rPr>
          <w:b/>
        </w:rPr>
        <w:t>E. 2.4</w:t>
      </w:r>
    </w:p>
    <w:p>
      <w:r>
        <w:t>Anhaltspunkte für eine rechtsmissbräuchliche oder gar schikanöse Betreibung und damit nichtige Betreibung liegen nicht vor.</w:t>
      </w:r>
    </w:p>
    <w:p>
      <w:r>
        <w:rPr>
          <w:b/>
        </w:rPr>
        <w:t>E. 3</w:t>
      </w:r>
    </w:p>
    <w:p>
      <w:r>
        <w:t>Nach dem Gesagten ist auf die Beschwerde gegen den Zahlungsbefehl mangels Rechts- schutzinteresses nicht einzutreten.</w:t>
      </w:r>
    </w:p>
    <w:p>
      <w:r>
        <w:rPr>
          <w:b/>
        </w:rPr>
        <w:t>E. 4</w:t>
      </w:r>
    </w:p>
    <w:p>
      <w:r>
        <w:t>Das Verfahren vor der kantonalen Aufsichtsbehörde über Schuldbetreibung und Konkurs ist kostenlos (Art. 20a Abs. 2 Ziff. 5 SchKG). Parteientschädigungen dürfen nicht zugesprochen werden (Art. 62 Abs. 2 GebV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