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45 vom 9. Dezember 2025</w:t>
      </w:r>
    </w:p>
    <w:p>
      <w:r>
        <w:t>ZG Obergericht, 2025-12-09, DE</w:t>
      </w:r>
    </w:p>
    <w:p>
      <w:r>
        <w:rPr>
          <w:b/>
        </w:rPr>
        <w:t xml:space="preserve">Quelle: </w:t>
      </w:r>
      <w:r>
        <w:t>https://mcp.opencaselaw.ch/entscheid/zg_obergericht_BA_2025_45</w:t>
      </w:r>
    </w:p>
    <w:p>
      <w:r>
        <w:t>FR: ZG_OBERGERICHT BA 2025 45 du 9 décembre 2025</w:t>
      </w:r>
    </w:p>
    <w:p>
      <w:r>
        <w:t>IT: ZG_OBERGERICHT BA 2025 45 del 9 dicembre 2025</w:t>
      </w:r>
    </w:p>
    <w:p>
      <w:pPr>
        <w:pStyle w:val="Heading2"/>
      </w:pPr>
      <w:r>
        <w:t>Regeste</w:t>
      </w:r>
    </w:p>
    <w:p>
      <w:r>
        <w:t>II. Beschwerdeabteilung%z%Aufsichtsbehörde über Schuldbetreibung und Konkurs</w:t>
      </w:r>
    </w:p>
    <w:p>
      <w:pPr>
        <w:pStyle w:val="Heading2"/>
      </w:pPr>
      <w:r>
        <w:t>Erwägungen</w:t>
      </w:r>
    </w:p>
    <w:p>
      <w:r>
        <w:rPr>
          <w:b/>
        </w:rPr>
        <w:t>E. 1</w:t>
      </w:r>
    </w:p>
    <w:p>
      <w:r>
        <w:t>Das Beschwerdeverfahren nach Art. 17 SchKG richtet sich nach dem SchKG und im Übrigen nach der Zivilprozessordnung (Art. 20a Abs. 3 SchKG i.V.m. § 16 Abs. 2 EG SchKG und § 21 Abs. 2 GOG). Die Beschwerde ist bei der Rechtsmittelinstanz schriftlich und begründet ein- zureichen (Art. 321 Abs. 1 ZPO). Der Beschwerdeführer hat die Anträge zu substanziieren, d.h. es ist darzulegen, welche Ziffern des Dispositivs und inwiefern sie zu ändern sind, an- sonsten Nichteintreten erfolgt. Weiter trifft den Beschwerdeführer eine Begründungspflicht. Er muss in der Beschwerdeschrift substanziiert vortragen, aus welchen Gründen der ange- fochtene Entscheid unrichtig sei und warum und wie er geändert werden müsse. Liegt keine Begründung vor oder wird nur auf die vorinstanzlichen Vorbringen und Akten verwiesen, ist auf die Beschwerde nicht einzutreten. Ist die Begründung zwar nicht gerade ungenügend, aber in der Substanz mangelhaft, lässt dies zwar das Eintreten auf sie unberührt, kann sich aber in der materiellen Beurteilung zum Nachteil des Beschwerdeführers auswirken (vgl. etwa Spühler, Basler Kommentar, 3. A. 2021, Art. 321 ZPO N 4 und Art. 311 ZPO N 3, 12, 15 und 18).</w:t>
      </w:r>
    </w:p>
    <w:p>
      <w:r>
        <w:rPr>
          <w:b/>
        </w:rPr>
        <w:t>E. 2</w:t>
      </w:r>
    </w:p>
    <w:p>
      <w:r>
        <w:t>Die Beschwerdeführerin bringt vor, sie erachte den von März bis Ende Mai 2025 durch die falsche und der Lehre sowie der Rechtsprechung des Bundesgerichts klar widersprechende Haltung des Betreibungsamtes verursachten Aufwand als ungerechtfertigt und beziffere die- sen unpräjudiziell auf pauschal CHF 5'000.00. Demzufolge sehe sie keinen Anlass, den gel- tend gemachten Restbetrag von CHF 1'041.90 zu bezahlen (act. 1).</w:t>
      </w:r>
    </w:p>
    <w:p>
      <w:r>
        <w:rPr>
          <w:b/>
        </w:rPr>
        <w:t>E. 3</w:t>
      </w:r>
    </w:p>
    <w:p>
      <w:r>
        <w:t>Vorweg ist festzuhalten, dass fraglich ist, ob die Beschwerde genügende Rechtsmittelanträge enthält. Die Beschwerdeführerin stellte keinen konkreten Antrag. Der Begründung der Be- schwerde kann jedoch sinngemäss entnommen werden, dass die Beschwerdeführerin gar keine Kosten tragen möchte. Die Anforderungen an die Stellung von Rechtsmittelanträgen sind gerade noch als erfüllt zu betrachten.</w:t>
      </w:r>
    </w:p>
    <w:p>
      <w:r>
        <w:rPr>
          <w:b/>
        </w:rPr>
        <w:t>E. 4</w:t>
      </w:r>
    </w:p>
    <w:p>
      <w:r>
        <w:t>In ihrer Beschwerde geht die Beschwerdeführerin mit keinem Wort auf die einzelnen Positio- nen der Kostenverfügung des Betreibungsamtes ein. Der Aufschlüsselung, für welche Hand- lungen des Betreibungsamtes welche Kosten erhoben wurden, setzt die Beschwerdeführerin einzig entgegen, das Betreibungsamt habe mit seinem ungerechtfertigten Vorgehen bei ihr einen Aufwand in Höhe von CHF 5'000.00 verursacht, weshalb die in Rechnung gestellten Kosten von CHF 1'041.90 nicht geschuldet seien. Diese Argumentation verfängt nicht. Die Beschwerdeführerin macht keine substanziierten Ausführungen zum Bestand und zur Höhe des behaupteten Aufwands. Dazu liegen auch keine Belege vor. Die Beschwerdeführerin be- gründet ihre Gegenforderung damit, dass die Haltung des Betreibungsamtes der Lehre und</w:t>
      </w:r>
    </w:p>
    <w:p>
      <w:r>
        <w:t>Seite 4/5 der Bundesgerichtspraxis widerspreche. Grund für die Gegenforderung der Beschwerdefüh- rerin soll mithin ein Fehlverhalten des Betreibungsamtes sein. Laut Art. 5 Abs. 1 SchKG haf- tet der Kanton für den Schaden, den die Beamten und Angestellten (etc.) bei der Erfüllung der Aufgaben, die ihnen das Gesetz zuweist, widerrechtlich verursachen. Das Bundesrecht überlässt die Ausgestaltung des Verfahrens dem kantonalen Recht (vgl. Gasser, Basler Kommentar, 3. A. 2021, Art. 5 SchKG N 51). Im Kanton Zug sind allfällige Verantwortlich- keitsansprüche in einem Vorverfahren bei der Sicherheitsdirektion geltend zu machen (vgl. § 20 Abs. 1 i.V.m. Abs. 2 lit. b des Verantwortlichkeitsgesetzes [VG; BGS 154.11]). Im Be- schwerdeverfahren gemäss Art. 17 SchKG können keine Verantwortlichkeitsansprüche gel- tend gemacht (und geprüft) werden. Dementsprechend ist der angeblich vom Betreibungsamt verursachte Aufwand von CHF 5'000.00 nicht nur unsubstanziiert und unbelegt, sondern kann auch nicht zur Bestreitung der angefochtenen Kostenrechnung angeführt werden.</w:t>
      </w:r>
    </w:p>
    <w:p>
      <w:r>
        <w:rPr>
          <w:b/>
        </w:rPr>
        <w:t>E. 5</w:t>
      </w:r>
    </w:p>
    <w:p>
      <w:r>
        <w:t>Nach dem Gesagten ist die Beschwerde abzuweisen.</w:t>
      </w:r>
    </w:p>
    <w:p>
      <w:r>
        <w:rPr>
          <w:b/>
        </w:rPr>
        <w:t>E. 6</w:t>
      </w:r>
    </w:p>
    <w:p>
      <w:r>
        <w:t>Das Verfahren vor der kantonalen Aufsichtsbehörde über Schuldbetreibung und Konkurs ist kostenlos (Art. 20a Abs. 2 Ziff. 5 SchKG). Parteientschädigungen dürfen nicht zugesprochen werden (Art. 62 Abs. 2 GebV SchKG). Somit besteht von vornherein keine Grundlage, der Beschwerdeführerin "eine Entschädigung für das Fehlverhalten des Betreibungsamtes zu- mindest um die zweifache Höhe der Gebühr" zuzusprechen (vgl. act. 1 S. 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