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2025 33 vom 21. August 2025</w:t>
      </w:r>
    </w:p>
    <w:p>
      <w:r>
        <w:t>ZG Obergericht, 2025-08-21, DE</w:t>
      </w:r>
    </w:p>
    <w:p>
      <w:r>
        <w:rPr>
          <w:b/>
        </w:rPr>
        <w:t xml:space="preserve">Quelle: </w:t>
      </w:r>
      <w:r>
        <w:t>https://mcp.opencaselaw.ch/entscheid/zg_obergericht_BA_2025_33</w:t>
      </w:r>
    </w:p>
    <w:p>
      <w:r>
        <w:t>FR: ZG_OBERGERICHT BA 2025 33 du 21 août 2025</w:t>
      </w:r>
    </w:p>
    <w:p>
      <w:r>
        <w:t>IT: ZG_OBERGERICHT BA 2025 33 del 21 agosto 2025</w:t>
      </w:r>
    </w:p>
    <w:p>
      <w:pPr>
        <w:pStyle w:val="Heading2"/>
      </w:pPr>
      <w:r>
        <w:t>Regeste</w:t>
      </w:r>
    </w:p>
    <w:p>
      <w:r>
        <w:t>II. Beschwerdeabteilung%z%Aufsichtsbehörde über Schuldbetreibung und Konkurs</w:t>
      </w:r>
    </w:p>
    <w:p>
      <w:pPr>
        <w:pStyle w:val="Heading2"/>
      </w:pPr>
      <w:r>
        <w:t>Erwägungen</w:t>
      </w:r>
    </w:p>
    <w:p>
      <w:r>
        <w:rPr>
          <w:b/>
        </w:rPr>
        <w:t>E. 1</w:t>
      </w:r>
    </w:p>
    <w:p>
      <w:r>
        <w:t>Das Betreibungsamt Cham wies das Gesuch des Beschwerdeführers um Nichtbekanntgabe der Betreibung Nr. C.________ an Dritte im Wesentlichen mit der Begründung ab, die Forde- rung (oder ein Teil davon) in dieser Betreibung sei beglichen worden. In einem solchen Kon- text den Betreibungseintrag nicht sichtbar machen zu wollen mit der Behauptung, die Betrei- bung sei ungerechtfertigt, stelle ein widersprüchliches Verhalten dar, das keinen Rechtschutz verdiene (vgl. act. 3/5).</w:t>
      </w:r>
    </w:p>
    <w:p>
      <w:r>
        <w:rPr>
          <w:b/>
        </w:rPr>
        <w:t>E. 2</w:t>
      </w:r>
    </w:p>
    <w:p>
      <w:r>
        <w:t>Dagegen bringt der Beschwerdeführer vor, die Gläubigerin habe ihm vor einiger Zeit einen Geldbetrag ausgeliehen. Sie habe ihm mündlich erklärt, er solle ihr monatlich einfach zurück- zahlen, was gehe; spätestens Ende 2027 (wegen der Verjährung) müsse sie das Geld zurückhaben. Das Darlehen sei ihm zinslos zur Verfügung gestellt worden. Somit habe er bis 31. Dezember 2027 Zeit, das Geld zurückzuzahlen. Ebenso sei ein Verzugszins nicht ge- rechtfertigt. Er habe dies der Gläubigerin schriftlich mitgeteilt und sie habe diesbezüglich nie etwas dementiert. Eine Betreibung sei daher erst gerechtfertigt, wenn er seine Gesamtschuld nicht bis 31. Dezember 2027 zurückbezahlt habe. Er habe bereits seit Februar 2023 Teilzah- lungen an die Gläubigerin geleistet. Sämtliche Raten habe er nicht (wie das Betreibungsamt behaupte) in Anerkennung der Betreibung überwiesen, sondern um die Rückzahlung des Darlehens – wie mit der Gläubigerin mündlich vereinbart – einzuhalten (vgl. act. 1).</w:t>
      </w:r>
    </w:p>
    <w:p>
      <w:r>
        <w:rPr>
          <w:b/>
        </w:rPr>
        <w:t>E. 3</w:t>
      </w:r>
    </w:p>
    <w:p>
      <w:r>
        <w:t>Gemäss Art. 8a Abs. 3 lit. d SchKG geben Ämter Dritten von einer Betreibung keine Kennt- nis, wenn der Schuldner nach Ablauf einer Frist von drei Monaten seit der Zustellung des Zahlungsbefehls ein entsprechendes Gesuch gestellt hat, sofern der Gläubiger nach Ablauf einer vom Betreibungsamt angesetzten Frist von 20 Tagen den Nachweis nicht erbringt, dass</w:t>
      </w:r>
    </w:p>
    <w:p>
      <w:r>
        <w:t>Seite 3/4 rechtzeitig ein Verfahren zur Beseitigung des Rechtsvorschlages (Art. 79-84 SchKG) einge- leitet wurde.</w:t>
      </w:r>
    </w:p>
    <w:p>
      <w:r>
        <w:rPr>
          <w:b/>
        </w:rPr>
        <w:t>E. 3.1</w:t>
      </w:r>
    </w:p>
    <w:p>
      <w:r>
        <w:t>Nach der Rechtsprechung des Bundesgerichts liegt ein (unter Umständen bloss teilweiser) Rückzug des Rechtsvorschlages vor, wenn der Betriebene den Forderungsbetrag trotz des erhobenen Rechtsvorschlages an das Betreibungsamt überweist. Soweit durch diese Zah- lung nicht alle in Betreibung gesetzten Forderungen und Kosten beglichen sind, kann daher das Fortsetzungsbegehren ohne Weiteres gestellt werden (vgl. Bessenich/Fink, Basler Kommentar, 3. A. 2021, Art. 78 SchKG N 5 und 5a m.H.).</w:t>
      </w:r>
    </w:p>
    <w:p>
      <w:r>
        <w:rPr>
          <w:b/>
        </w:rPr>
        <w:t>E. 3.2</w:t>
      </w:r>
    </w:p>
    <w:p>
      <w:r>
        <w:t>Begleicht der Schuldner eine Forderung, nachdem sie in Betreibung gesetzt wurde, so kann er die Bekanntgabe der Betreibung an Dritte nicht mit einem Gesuch nach Art. 8a Abs. 3 lit. d SchKG verhindern. Der Schuldner kann sich nur auf Art. 8a Abs. 3 lit. d SchKG berufen, so- lange die Forderung bestritten ist. Der Gesetzgeber schliesst aus der Begleichung einer in Betreibung gesetzten Forderung auf die Anerkennung einer Schuldpflicht und geht daher nicht von einer ungerechtfertigten Betreibung aus, deren Bekanntgabe mit einem Gesuch nach Art. 8a Abs. 3 lit. d SchKG verhindert werden kann (vgl. BGE 147 III 486 E. 3.4.2 und 3.5.3). Diese Schlussfolgerung wird in der Lehre bestätigt und kommt auch in der Weisung Nr. 5 des Bundesamtes für Justiz, Dienststelle Oberaufsicht für Schuldbetreibung und Kon- kurs, vom 18. Oktober 2018 bzw. 19. Oktober 2021 (Ziff. 10-12) zum Ausdruck. Begleicht der Schuldner die Forderung nach Einleitung der Betreibung, macht er damit deutlich, dass er sowohl die Forderung als auch das Recht, diese in Betreibung zu setzen, nicht bestreitet (zit. Weisung, a.a.O., Ziff. 9 und 10).</w:t>
      </w:r>
    </w:p>
    <w:p>
      <w:r>
        <w:rPr>
          <w:b/>
        </w:rPr>
        <w:t>E. 3.3</w:t>
      </w:r>
    </w:p>
    <w:p>
      <w:r>
        <w:t>Wenn der Schuldner hingegen die Forderung bereits vor der Einleitung der Betreibung be- zahlt hat, kann er ein Gesuch um Nichtbekanntgabe der Betreibung an Dritte stellen. Mass- gebend ist der Zeitpunkt der Zustellung des Zahlungsbefehls (vgl. BGE 150 III 390 E. 4.2 und 4.4.2).</w:t>
      </w:r>
    </w:p>
    <w:p>
      <w:r>
        <w:rPr>
          <w:b/>
        </w:rPr>
        <w:t>E. 4</w:t>
      </w:r>
    </w:p>
    <w:p>
      <w:r>
        <w:t>Der Beschwerdeführer bestreitet nicht, dass er bei der Gläubigerin eine Darlehensschuld hat, vertritt aber die Ansicht, dass die Gesamtschuld erst per 31. Dezember 2027 zurückzuzahlen sei (vgl. act. 1). Wie den Akten zu entnehmen ist, leistete der Beschwerdeführer nicht nur vor Einleitung der Betreibung, sondern auch nach Erhalt des Zahlungsbefehls, mithin nach dem 16. Dezember 2024, diverse Teilzahlungen zur Tilgung der Darlehensforderung der Gläubi- gerin. So überwies er am 23. Dezember 2024, am 28. Januar 2025, am 27. Februar 2025 und am 28. März 2025 je CHF 100.00 an die Gläubigerin (act. 1/1-2). Vor diesem Hinter- grund kann die Betreibung gegen den Beschwerdeführer nicht als ungerechtfertigt bezeich- net werden. Der Beschwerdeführer verhält sich widersprüchlich, wenn er einerseits die Dar- lehensschuld nicht bestreitet und Abschlagszahlungen leistet und anderseits behauptet, die Darlehensschuld sei nicht fällig. Die Abweisung des Gesuchs des Beschwerdeführers um Nichtbekanntgabe einer Betreibung an Dritte ist somit nicht zu beanstanden.</w:t>
      </w:r>
    </w:p>
    <w:p>
      <w:r>
        <w:rPr>
          <w:b/>
        </w:rPr>
        <w:t>E. 5</w:t>
      </w:r>
    </w:p>
    <w:p>
      <w:r>
        <w:t>Nach dem Gesagten erweist sich die Beschwerde als unbegründet und ist demnach abzu- weisen.</w:t>
      </w:r>
    </w:p>
    <w:p>
      <w:r>
        <w:t>Seite 4/4 Das Verfahren vor der kantonalen Aufsichtsbehörde über Schuldbetreibung und Konkurs ist kostenlos (Art. 20a Abs. 2 Ziff. 5 SchKG). Parteientschädigungen sind nicht auszurichten (Art. 62 Abs. 2 GebV SchKG).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