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23 vom 17. Juni 2025</w:t>
      </w:r>
    </w:p>
    <w:p>
      <w:r>
        <w:t>ZG Obergericht, 2025-06-17, DE</w:t>
      </w:r>
    </w:p>
    <w:p>
      <w:r>
        <w:rPr>
          <w:b/>
        </w:rPr>
        <w:t xml:space="preserve">Quelle: </w:t>
      </w:r>
      <w:r>
        <w:t>https://mcp.opencaselaw.ch/entscheid/zg_obergericht_BA_2025_23</w:t>
      </w:r>
    </w:p>
    <w:p>
      <w:r>
        <w:t>FR: ZG_OBERGERICHT BA 2025 23 du 17 juin 2025</w:t>
      </w:r>
    </w:p>
    <w:p>
      <w:r>
        <w:t>IT: ZG_OBERGERICHT BA 2025 23 del 17 giugno 2025</w:t>
      </w:r>
    </w:p>
    <w:p>
      <w:pPr>
        <w:pStyle w:val="Heading2"/>
      </w:pPr>
      <w:r>
        <w:t>Regeste</w:t>
      </w:r>
    </w:p>
    <w:p>
      <w:r>
        <w:t>II. Beschwerdeabteilung%z%Aufsichtsbehörde über Schuldbetreibung und Konkurs</w:t>
      </w:r>
    </w:p>
    <w:p>
      <w:pPr>
        <w:pStyle w:val="Heading2"/>
      </w:pPr>
      <w:r>
        <w:t>Erwägungen</w:t>
      </w:r>
    </w:p>
    <w:p>
      <w:r>
        <w:rPr>
          <w:b/>
        </w:rPr>
        <w:t>E. 1</w:t>
      </w:r>
    </w:p>
    <w:p>
      <w:r>
        <w:t>Vorab ist die örtliche Zuständigkeit zu prüfen.</w:t>
      </w:r>
    </w:p>
    <w:p>
      <w:r>
        <w:rPr>
          <w:b/>
        </w:rPr>
        <w:t>E. 1.1</w:t>
      </w:r>
    </w:p>
    <w:p>
      <w:r>
        <w:t>Die örtliche Zuständigkeit bestimmt, welche von mehreren auf gleicher Stufe stehenden Auf- sichtsbehörden zu entscheiden hat. Interkantonal sind die Aufsichtsbehörden jenes Kantons zuständig, deren Behördenorganisation die Betreibungs- oder Konkursbehörde, gegen wel- che sich die Beschwerde richtet, angehört. Gegen rechtshilfeweise vorgenommene Amts- handlungen nach Art. 4 SchKG ist die Beschwerde bei der dem ersuchenden Amt vorgesetz- ten Aufsichtsbehörde einzureichen, mit Ausnahme der Fälle, in denen das ersuchte Amt über</w:t>
      </w:r>
    </w:p>
    <w:p>
      <w:r>
        <w:t>Seite 3/4 die Art und Weise des Vollzugs der requirierten Handlung selbständig bestimmt (vgl. Comet- ta/Möckli, Basler Kommentar, 3. A. 2021, Art. 17 SchKG N 57 m.H.).</w:t>
      </w:r>
    </w:p>
    <w:p>
      <w:r>
        <w:rPr>
          <w:b/>
        </w:rPr>
        <w:t>E. 1.2</w:t>
      </w:r>
    </w:p>
    <w:p>
      <w:r>
        <w:t>Für die Beschwerde betreffend Gültigkeit der Betreibung und betreffend Anfechtung der feh- lerhaften Bezeichnung des Schuldners im Zahlungsbefehl (Rechtsbegehren Ziffern 1 und 3 der Eingabe vom 26. November 2024) war der Gerichtspräsident des Bezirksgerichts Höfe als Aufsichtsbehörde in Schuldbetreibungs- und Konkurssachen örtlich (und sachlich) zu- ständig. Über diese Beschwerde wurde bereits entschieden (vgl. act. 2). Noch nicht beurteilt wurde hingegen die Beschwerde betreffend Zustellung des Zahlungsbefehls (Rechtsbegeh- ren Ziffer 2). Da diese Amtshandlung rechtshilfeweise vom Betreibungsamt Zug vorgenom- men wurde, ist die II. Beschwerdeabteilung des Obergerichts Zug als Aufsichtsbehörde über Schuldbetreibung und Konkurs örtlich (und sachlich) zuständig (vgl. § 13 Abs. 1 EG SchKG; BGS 231.1).</w:t>
      </w:r>
    </w:p>
    <w:p>
      <w:r>
        <w:rPr>
          <w:b/>
        </w:rPr>
        <w:t>E. 2</w:t>
      </w:r>
    </w:p>
    <w:p>
      <w:r>
        <w:t>Der Beschwerdeführer stellt sich auf den Standpunkt, der Zahlungsbefehl sei nicht korrekt zugestellt worden.</w:t>
      </w:r>
    </w:p>
    <w:p>
      <w:r>
        <w:rPr>
          <w:b/>
        </w:rPr>
        <w:t>E. 2.1</w:t>
      </w:r>
    </w:p>
    <w:p>
      <w:r>
        <w:t>Er bringt vor, der Zahlungsbefehl sei der Mitarbeiterin eines an derselben Anschrift wie seine Aktiengesellschaft tätigen Treuhandbüros übergeben worden. Es gebe kein Vertragsverhält- nis zwischen ihm und dem Treuhandbüro, das über Dienstleistungen für AGs hinausgehe. Insbesondere sei dieses Treuhandbüro nicht Domizilhalterin, schon gar nicht für ihn. Eine Strafklage wegen Datenschutzverletzung sei eingereicht worden. Aufgrund der Missbräuch- lichkeit der Betreibung und der gesetzeswidrigen Zustellung könne es ihm nicht zugemutet werden, die Betreibung als gültig anzuerkennen, auch nicht die Zustellung. Wenn bewusste, also vorsätzliche Straftaten begangen würden, könne und dürfe es nicht sein, dass der Zah- lungsbefehl gleichwohl gültig bleibe (vgl. act. 1).</w:t>
      </w:r>
    </w:p>
    <w:p>
      <w:r>
        <w:rPr>
          <w:b/>
        </w:rPr>
        <w:t>E. 2.2</w:t>
      </w:r>
    </w:p>
    <w:p>
      <w:r>
        <w:t>Wie den Akten zu entnehmen ist, wurde der Zahlungsbefehl vom Betreibungsamt Zug an die Geschäftsadresse des Beschwerdeführers zugestellt. Eine Angestellte der Domizilhalterin der Gesellschaft des Beschwerdeführers nahm den Zahlungsbefehl entgegen (vgl. act. 1/1). Unbestrittenermassen hat der Beschwerdeführer dagegen fristgerecht beim Betreibungsamt Höfe Rechtsvorschlag erhoben (vgl. act. 4 S. 2 und 4, act. 6).</w:t>
      </w:r>
    </w:p>
    <w:p>
      <w:r>
        <w:rPr>
          <w:b/>
        </w:rPr>
        <w:t>E. 2.3</w:t>
      </w:r>
    </w:p>
    <w:p>
      <w:r>
        <w:t>Ob die Zustellung des Zahlungsbefehls vorliegend mangelhaft war, kann offenbleiben. Gemäss ständiger und von der Lehre bestätigter Rechtsprechung des Bundesgerichts er- weist sich die mangelhafte Zustellung einer Betreibungsurkunde nur dann als nichtig, wenn der Adressat diese gar nicht erhalten hat. Kommt ihm hingegen die Betreibungsurkunde gleich- wohl zu, so entfaltet sie ab Erhalt ihre Wirkungen. Handelt es sich wie im konkreten Fall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 forderungen an die Zustellung des Zahlungsbefehls beachtet worden sind, und diesen gege- benenfalls erneut zuzustellen (vgl. Urteil des Bundesgerichts 5A_847/2016 vom 31. Januar 2017 E. 4.4 m.H.). Demnach wäre die Zustellung vorliegend auch dann nicht zu wiederholen, wenn sie mit einem Mangel behaftet wäre, da der Beschwerdeführer unbestrittenermassen</w:t>
      </w:r>
    </w:p>
    <w:p>
      <w:r>
        <w:t>Seite 4/4 rechtzeitig vom Zahlungsbefehl Kenntnis erhalten und fristgemäss Rechtsvorschlag erhoben hat (vgl. E. 2.2). Ob die Zustellung mangelhaft war, ist deshalb mangels Rechtsschutzinter- esses nicht zu prüfen.</w:t>
      </w:r>
    </w:p>
    <w:p>
      <w:r>
        <w:rPr>
          <w:b/>
        </w:rPr>
        <w:t>E. 3</w:t>
      </w:r>
    </w:p>
    <w:p>
      <w:r>
        <w:t>Nach dem Gesagten ist auf die Beschwerde betreffend Zustellung des Zahlungsbefehls (Rechtsbegehren Ziffer 2 der Eingabe vom 26. November 2024) mangels Rechtsschutzinter- esses nicht einzutreten.</w:t>
      </w:r>
    </w:p>
    <w:p>
      <w:r>
        <w:rPr>
          <w:b/>
        </w:rPr>
        <w:t>E. 4</w:t>
      </w:r>
    </w:p>
    <w:p>
      <w:r>
        <w:t>Das Verfahren vor der kantonalen Aufsichtsbehörde über Schuldbetreibung und Konkurs ist kostenlos (Art. 20a Abs. 2 Ziff. 5 SchKG). Parteientschädigungen dürfen nicht zugesprochen werden (Art. 62 Abs. 2 GebV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