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2024 56 vom 21. Januar 2025</w:t>
      </w:r>
    </w:p>
    <w:p>
      <w:r>
        <w:t>ZG Obergericht, 2025-01-21, DE</w:t>
      </w:r>
    </w:p>
    <w:p>
      <w:r>
        <w:rPr>
          <w:b/>
        </w:rPr>
        <w:t xml:space="preserve">Quelle: </w:t>
      </w:r>
      <w:r>
        <w:t>https://mcp.opencaselaw.ch/entscheid/zg_obergericht_BA_2024_56</w:t>
      </w:r>
    </w:p>
    <w:p>
      <w:r>
        <w:t>FR: ZG_OBERGERICHT BA 2024 56 du 21 janvier 2025</w:t>
      </w:r>
    </w:p>
    <w:p>
      <w:r>
        <w:t>IT: ZG_OBERGERICHT BA 2024 56 del 21 gennaio 2025</w:t>
      </w:r>
    </w:p>
    <w:p>
      <w:pPr>
        <w:pStyle w:val="Heading2"/>
      </w:pPr>
      <w:r>
        <w:t>Regeste</w:t>
      </w:r>
    </w:p>
    <w:p>
      <w:r>
        <w:t>II. Beschwerdeabteilung%z%Aufsichtsbehörde über Schuldbetreibung und Konkurs</w:t>
      </w:r>
    </w:p>
    <w:p>
      <w:pPr>
        <w:pStyle w:val="Heading2"/>
      </w:pPr>
      <w:r>
        <w:t>Erwägungen</w:t>
      </w:r>
    </w:p>
    <w:p>
      <w:r>
        <w:rPr>
          <w:b/>
        </w:rPr>
        <w:t>E. 1</w:t>
      </w:r>
    </w:p>
    <w:p>
      <w:r>
        <w:t>Die Beschwerdeführer bringen – zusammengefasst – Folgendes vor (vgl. act. 1):</w:t>
      </w:r>
    </w:p>
    <w:p>
      <w:r>
        <w:rPr>
          <w:b/>
        </w:rPr>
        <w:t>E. 1.1</w:t>
      </w:r>
    </w:p>
    <w:p>
      <w:r>
        <w:t>Das Konkursamt habe die Zahlungsangaben für die Leistung der Sicherheit nicht öffentlich bekannt gemacht. Für ein ausländisches Rechtssubjekt sei es objektiv unmöglich, eine inter- nationale Zahlungstransaktion in die Schweiz ohne Kenntnis der Zahlungsangaben innerhalb von Tagen durchzuführen. Die Auslegung von Art. 230 Abs. 2 SchKG, wonach man das Recht verliere, die Durchführung des Konkurses zu verlangen, wenn man die Sicherheit nicht innerhalb der Frist von 10 Tagen leiste, auch wenn die Zahlungsangaben unbekannt seien, sei zu restriktiv. Sie widerspreche dem Sinn und Zweck des Gesetzes und benachteilige Aus- länder, die keine Möglichkeit hätten, persönlich zu erscheinen, um die Sicherheit zu leisten. Das Konkursamt habe ihnen (den Beschwerdeführern) verwehrt, ihre Vermögensrechte i.S.v. Art. 230 Abs. 2 SchKG auszuüben und damit in ihr Eigentumsrecht eingegriffen (Art. 26 BV). Das Konkursverfahren verstosse gegen das Rechtsgleichheitsprinzip (Art. 8 BV) sowie ge- gen das Recht auf ein gerichtliches Verfahren (Art. 30 BV). Auf völkerrechtlicher Ebene sei die Schweiz überdies verpflichtet, Investitionen von tschechischen Investoren auf dem Gebiet der Schweiz zu schützen. Diese beidseitige Verpflichtung ergebe sich auch aus dem Ab- kommen über die Förderung und den gegenseitigen Schutz von Investitionen zwischen der Schweiz und der Tschechischen und Slowakischen Föderativen Republik vom 7. August 1991. Die Beschwerdeführerin 1 habe in den Jahren 2020-2022 ca. CHF 860'000.00 in die Schuldnerin investiert.</w:t>
      </w:r>
    </w:p>
    <w:p>
      <w:r>
        <w:rPr>
          <w:b/>
        </w:rPr>
        <w:t>E. 1.2</w:t>
      </w:r>
    </w:p>
    <w:p>
      <w:r>
        <w:t>Auch der zweite angebliche Grund der Einstellung des Verfahrens, das Konkursamt habe nachträglich keine Vermögenswerte entdeckt, treffe nicht zu. Sie (die Beschwerdeführer) hät- ten dem Konkursamt am 1. März 2024 mitgeteilt und bewiesen, dass die Schuldnerin Forde- rungen gegen Dritte habe. Dies habe in der Zwischenzeit der rechtskräftige Entscheid des Kantonsgerichts Zug vom 17. Juli 2024 bestätigt, worin festgestellt worden sei, dass die Ge- neralversammlungsbeschlüsse der Schuldnerin vom 24. Januar 2023 nichtig seien. Die ver- mögensrechtlichen Ansprüche der Schuldnerin basierten auf Zahlungen ohne Rechtsgrund, überflüssigen Zahlungen und dem Entzug von Vermögensgegenständen.</w:t>
      </w:r>
    </w:p>
    <w:p>
      <w:r>
        <w:rPr>
          <w:b/>
        </w:rPr>
        <w:t>E. 2</w:t>
      </w:r>
    </w:p>
    <w:p>
      <w:r>
        <w:t>Reicht die Konkursmasse voraussichtlich nicht aus, um die Kosten für ein summarisches Verfahren zu decken, so verfügt das Konkursgericht gemäss Art. 230 SchKG auf Antrag des Konkursamtes die Einstellung des Konkursverfahrens (Abs. 1). Das Konkursamt macht die Einstellung öffentlich bekannt. In der Publikation weist es darauf hin, dass das Verfahren ge- schlossen wird, wenn nicht innert zehn Tagen ein Gläubiger die Durchführung des Konkurs- verfahrens verlangt und die festgelegte Sicherheit für den durch die Konkursmasse nicht ge- deckten Teil der Kosten leistet (Abs. 2). Die Frist von 10 Tagen berechnet sich nach Kalen- dertagen, ist verlängerbar (Art. 33 Abs. 2 SchKG) und wiederherstellbar (Art. 33 Abs. 4 SchKG), wobei der diesbezügliche Entscheid dem Konkursgericht obliegt (Lustenberger/ Schenker, Basler Kommentar, 3. A. 2021, Art. 230 SchKG N 9 mit Hinweis auf BGE 74 III 75 E. 1 und 3 und Urteil des Bundesgerichts 5A_840/2015 E. 3.6; Kren Kostkiewicz, SchKG Kommentar, 20. A. 2020, Art. 230 SchKG N 14; Schober, in: Hunkeler [Hrsg.], Kurzkommen- tar SchKG, 2. A. 2014, Art. 230 SchKG N 8; a.M. Kantonsgericht Graubünden KSK 19 28, wonach die Aufsichtsbehörde zuständig sei).</w:t>
      </w:r>
    </w:p>
    <w:p>
      <w:r>
        <w:t>Seite 4/5</w:t>
      </w:r>
    </w:p>
    <w:p>
      <w:r>
        <w:rPr>
          <w:b/>
        </w:rPr>
        <w:t>E. 3</w:t>
      </w:r>
    </w:p>
    <w:p>
      <w:r>
        <w:t>Die Beschwerdeführer haben ihren Sitz bzw. Wohnsitz im Ausland. Sie erklärten mit Schrei- ben vom 1. März 2024 an das Konkursamt, dass sie bereit seien, die Sicherheit in der Höhe von CHF 5'000.00 zu leisten. Im Rubrum wiesen sie ausdrücklich darauf hin, dass der Kos- tenvorschuss "aufgrund eines Empfangsscheines" geleistet werde, mithin sobald sie die Zah- lungsangaben erhalten würden (act. 1/6). Der Rechtsvertreter der Beschwerdeführer bekräf- tigte dies mit E-Mail vom 4. März 2024 und wies gleichzeitig darauf hin, dass die zehntägige Frist "heute" [am 4. März 2024] ende und das Konkursverfahren nicht abgeschlossen werden dürfe, sondern durchzuführen sei (act. 1/3). Damit verlangten die Beschwerdeführer – zu- mindest implizit – eine Fristerstreckung für die Leistung der Sicherheit, um die Zahlung aus dem Ausland veranlassen zu können. Das Konkursamt hätte das Gesuch um Fristerstre- ckung sogleich dem Konkursrichter unterbreiten müssen (vgl. Art. 32 Abs. 2 SchKG). In des- sen Ermessen hätte es gestanden, über das Gesuch ohne Aufschub zu entscheiden und – bei einem positiven Entscheid – eine Nachfrist zur Vorschussleistung festzusetzen oder aber bloss aufschiebende Wirkung zu verfügen, um erst später den Entscheid über das Gesuch und über die Rechtswirksamkeit einer inzwischen allenfalls erbrachten Vorschussleistung zu treffen. Nachdem jedoch einerseits der Konkursrichter mit dem Begehren der Beschwerde- führer noch nicht befasst worden ist und diese anderseits die Sicherheit angeboten haben (und im Beschwerdeverfahren weiterhin anbieten), wird das Konkursamt die Sicherheit ent- gegenzunehmen und das Begehren der Beschwerdeführer alsdann mit den zugehörigen Ak- ten dem Konkursrichter zu überweisen haben (vgl. zum Ganzen: BGE 75 III 75 E. 3).</w:t>
      </w:r>
    </w:p>
    <w:p>
      <w:r>
        <w:rPr>
          <w:b/>
        </w:rPr>
        <w:t>E. 4</w:t>
      </w:r>
    </w:p>
    <w:p>
      <w:r>
        <w:t>Nach dem Gesagten ist die Beschwerde gutzuheissen und das Konkursamt anzuweisen, das sinngemässe Gesuch der Beschwerdeführer um Fristerstreckung an den Einzelrichter am Kantonsgericht Zug zu überweisen. Das Verfahren vor der kantonalen Aufsichtsbehörde über Schuldbetreibung und Konkurs ist – von hier nicht interessierenden Ausnahmen abgesehen – kostenlos (Art. 20a Abs. 2 Ziff. 5 SchKG) und Parteientschädigungen dürfen nicht zugesprochen werden (Art. 62 Abs. 2 GebV SchKG).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