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2024 47 vom 4. November 2025</w:t>
      </w:r>
    </w:p>
    <w:p>
      <w:r>
        <w:t>ZG Obergericht, 2025-11-04, DE</w:t>
      </w:r>
    </w:p>
    <w:p>
      <w:r>
        <w:rPr>
          <w:b/>
        </w:rPr>
        <w:t xml:space="preserve">Quelle: </w:t>
      </w:r>
      <w:r>
        <w:t>https://mcp.opencaselaw.ch/entscheid/zg_obergericht_BA_2024_47</w:t>
      </w:r>
    </w:p>
    <w:p>
      <w:r>
        <w:t>FR: ZG_OBERGERICHT BA 2024 47 du 4 novembre 2025</w:t>
      </w:r>
    </w:p>
    <w:p>
      <w:r>
        <w:t>IT: ZG_OBERGERICHT BA 2024 47 del 4 novembre 2025</w:t>
      </w:r>
    </w:p>
    <w:p>
      <w:pPr>
        <w:pStyle w:val="Heading2"/>
      </w:pPr>
      <w:r>
        <w:t>Regeste</w:t>
      </w:r>
    </w:p>
    <w:p>
      <w:r>
        <w:t>II. Beschwerdeabteilung%z%Aufsichtsbehörde über Schuldbetreibung und Konkurs</w:t>
      </w:r>
    </w:p>
    <w:p>
      <w:pPr>
        <w:pStyle w:val="Heading2"/>
      </w:pPr>
      <w:r>
        <w:t>Erwägungen</w:t>
      </w:r>
    </w:p>
    <w:p>
      <w:r>
        <w:rPr>
          <w:b/>
        </w:rPr>
        <w:t>E. 1</w:t>
      </w:r>
    </w:p>
    <w:p>
      <w:r>
        <w:t>Gemäss Art. 17 Abs. 1 SchKG kann mit Ausnahme der Fälle, in denen dieses Gesetz den Weg der gerichtlichen Klage vorschreibt, gegen jede Verfügung eines Betreibungs- oder eines Konkursamtes bei der Aufsichtsbehörde wegen Gesetzesverletzung oder Unangemes- senheit Beschwerde geführt werden. Die Beschwerde muss binnen zehn Tagen seit dem Ta- ge, an welchem der Beschwerdeführer von der Verfügung Kenntnis erhalten hat, angebracht werden (Art. 17 Abs. 2 SchKG). Zur Beschwerdeführung ist legitimiert, wer durch die ange-</w:t>
      </w:r>
    </w:p>
    <w:p>
      <w:r>
        <w:t>Seite 3/5 fochtene Verfügung eines Vollstreckungsorgans in seinen rechtlich geschützten oder zumin- dest tatsächlichen Interessen betroffen und dadurch beschwert ist und deshalb ein schutz- würdiges Interesse an der Aufhebung oder Abänderung der Verfügung hat (BGE 129 III 595 E. 3; Cometta/Möckli, Basler Kommentar, 3. A. 2021, Art. 17 SchKG N 40). Ein schutzwürdi- ges Interesse ist zu bejahen, wenn die rechtliche oder tatsächliche Stellung des Beschwerde- führers durch den Ausgang des Beschwerdeverfahrens unmittelbar beeinflusst werden kann. Die Beschwerde muss mithin einem praktischen Zweck der Vollstreckung dienen (Wohl, in: Hunkeler [Hrsg.], Kurzkommentar SchKG, 3. A. 2025, Art. 17 SchKG N 9 f.). Beschwerden mit dem blossen Zweck, allfällige in der Vergangenheit liegende Fehler der Vollstreckungsor- gane feststellen zu lassen, sind unzulässig (vgl. Urteil des Bundesgerichts 5A_232/2017 vom 26. Oktober 2017 E. 3.1). Fehlt es bereits bei ihrer Erhebung an einem solchen Rechtsschut- zinteresse (Beschwer), ist auf die Beschwerde mangels einer Prozessvoraussetzung nicht einzutreten (Amonn/Walther, Grundriss des Schuldbetreibungs- und Konkursrechts, 9. A. 2013, § 6 Rz 24). Der Anzeigeerstatter wirft dem Beschwerdeführer verschiedene Amtspflichtverletzungen vor. Soweit sich die Beschwerde gegen bestimmte Verfügungen im Sinne von Art. 17 SchKG rich- tet, ist sie verspätet, da sie innerhalb von 10 Tagen seit Kenntnis von der Verfügung hätte eingereicht werden müssen. Soweit mit der Beschwerde eine Rechtsverzögerung oder -verweigerung geltend gemacht wird, fehlt es an einem schutzwürdigen Interesse, da das Nachlassverfahren nicht mehr im Gange und damit die Amtstätigkeit des provisorischen Sachwalters abgeschlossen ist. Sofern es sich demnach um eine betreibungsrechtliche Be- schwerde im Sinne von Art. 17 SchKG handelt, kann darauf nicht eingetreten werden.</w:t>
      </w:r>
    </w:p>
    <w:p>
      <w:r>
        <w:rPr>
          <w:b/>
        </w:rPr>
        <w:t>E. 2</w:t>
      </w:r>
    </w:p>
    <w:p>
      <w:r>
        <w:t>Gemäss § 74 Abs. 1 GOG ist die subsidiäre Aufsichtsbeschwerde zulässig gegen Amts- pflichtverletzungen und ungebührliches Verhalten der Justizbehörden mit Ausnahme der Po- lizei, soweit nicht ein anderes Rechtsmittel oder ein anderer Rechtsbehelf zulässig ist. Die subsidiäre Aufsichtsbeschwerde ist innert 10 Tagen seit Kenntnisnahme des Beschwer- degrunds einzureichen (§ 74 Abs. 2 GOG). Dieses Rechtsmittel fällt vorliegend ebenfalls ausser Betracht, da es innert 10 Tagen seit Kenntnisnahme des Beschwerdegrundes einzu- reichen gewesen wäre.</w:t>
      </w:r>
    </w:p>
    <w:p>
      <w:r>
        <w:rPr>
          <w:b/>
        </w:rPr>
        <w:t>E. 3</w:t>
      </w:r>
    </w:p>
    <w:p>
      <w:r>
        <w:t>Nach Art. 295 Abs. 3 SchKG i.V.m. Art. 14 Abs. 2 SchKG untersteht der Sachwalter im Nach- lassverfahren der Disziplinarhoheit der Aufsichtsbehörden (vgl. Bauer/Luginbühl, Basler Kommentar, 3. A. 2021, Art. 295 SchKG N 23). Die Verhängung einer Disziplinarmassnahme setzt voraus, dass die dem Disziplinarrecht unterworfene Person in Ausübung ihrer Funktion schuldhaft (fahrlässig, vorsätzlich) eine ihr obliegende Pflicht, d.h. Aufgabe, verletzt hat (vgl. Emmel, Basler Kommentar, 3. A. 2021, Art. 14 SchKG N 8 m.H.). Der Verzeiger hat im Un- terschied zum Disziplinierten weder Anspruch auf Akteneinsicht noch auf Erledigung durch einen beschwerdefähigen Entscheid noch auf Anfechtung eines Entscheids aufgrund der An- zeige, insbesondere auch dann, wenn diese auf eine Disziplinierung oder gar auf die Eröff- nung eines Disziplinarverfahrens verzichtet (vgl. Emmel, a.a.O., Art. 14 SchKG N 12a m.H.). Die Vorwürfe des Anzeigeerstatters sind ohne Grundlage.</w:t>
      </w:r>
    </w:p>
    <w:p>
      <w:r>
        <w:rPr>
          <w:b/>
        </w:rPr>
        <w:t>E. 3.1</w:t>
      </w:r>
    </w:p>
    <w:p>
      <w:r>
        <w:t>Rechtsanwalt B.________ war einzig provisorischer Sachwalter der C.________ AG und nicht "faktischer Geschäftsführer" bei den deutschen C.________-Gesellschaften. Der provi-</w:t>
      </w:r>
    </w:p>
    <w:p>
      <w:r>
        <w:t>Seite 4/5 sorische Sachwalter hat als Hauptaufgabe einen Prüfungs- und Überwachungsauftrag. Strebt der Schuldner einen Nachlassvertrag an, so hat der provisorische Sachwalter die Aussicht auf dessen Bestätigung zu beurteilen. Daneben kommt ihm die Aufgabe zu, die Handlungen des Schuldners bzw. dessen Geschäftsführung zu überwachen und ihm Weisungen zu ertei- len. Aus dem Verweis in Art. 293b Abs. 1 Satz 2 SchKG auf Art. 295 SchKG ergibt sich fer- ner, dass das Nachlassgericht dem provisorischen Sachwalter von sich aus oder auf Antrag noch weitere Aufgaben zuweisen kann (vgl. Bauer/Luginbühl, a.a.O., Art. 293b SchKG N 8 ff.). Vorliegend wurden dem provisorischen Sachwalter keine weiteren Aufgaben über- tragen. Die Geschäftsführung der C.________ AG war nicht Gegenstand seines Auftrags. Für die Geschäftsführung der Tochtergesellschaften (mit eigener Rechtspersönlichkeit) wa- ren deren Geschäftsführer verantwortlich (vgl. act. 5 S. 1; Entscheid der Einzelrichterin am Kantonsgericht Zug EN 2023 1 vom 20. März 2023).</w:t>
      </w:r>
    </w:p>
    <w:p>
      <w:r>
        <w:rPr>
          <w:b/>
        </w:rPr>
        <w:t>E. 3.2</w:t>
      </w:r>
    </w:p>
    <w:p>
      <w:r>
        <w:t>Nicht ersichtlich ist, inwiefern das Informationsschreiben des provisorischen Sachwalters vom 7. Juli 2023 eine "vorsätzliche Desinformation" darstellen soll. Verhandlungen über einen allfälligen Nachlassvertrag wären erst im Falle der Gewährung der definitiven Nach- lassstundung zu führen gewesen (vgl. Art. 295 Abs. 2 lit. a SchKG).</w:t>
      </w:r>
    </w:p>
    <w:p>
      <w:r>
        <w:rPr>
          <w:b/>
        </w:rPr>
        <w:t>E. 3.3</w:t>
      </w:r>
    </w:p>
    <w:p>
      <w:r>
        <w:t>Ohne Ermächtigung des Nachlassgerichts konnte die C.________ AG während der Stun- dung gar nicht in rechtsgültiger Weise Teile des Anlagevermögens veräussern (Art. 298 Abs. 2 SchKG). Während der Nachlassstundung gab es nach Angaben von Rechtsanwalt B.________ auch keine Veräusserungen von Immobilien durch die C.________ AG (vgl. act. 5 S. 2). Die angeführten "Notarverträge" betreffen nicht die C.________ AG, sondern Tochtergesellschaften der C.________ AG, wie der Beschwerdeschrift zu entnehmen ist (vgl. act. 1 S. 4). Für das Vermögen der Tochtergesellschaften der C.________ AG waren der provisorische Sachwalter und das Nachlassgericht nicht zuständig. Abgesehen davon wur- den die beanstandeten "Notarverträge" am 11. Dezember 2023 und damit nach der Konkur- seröffnung über die C.________ AG vom 26. September 2023 (und Beendigung des Man- dats des provisorischen Sachwalters) abgeschlossen.</w:t>
      </w:r>
    </w:p>
    <w:p>
      <w:r>
        <w:rPr>
          <w:b/>
        </w:rPr>
        <w:t>E. 3.4</w:t>
      </w:r>
    </w:p>
    <w:p>
      <w:r>
        <w:t>Eine allgemeine Anzeigepflicht, d.h. eine Verpflichtung für alle Personen, begangene Straf- taten anzuzeigen, besteht im schweizerischen Recht nicht. Es gibt aber spezielle Anzeige- pflichten für bestimmte Personenkategorien (vgl. Hagenstein, Basler Kommentar, 3. A. 2023, Art. 302 StPO N 4 f.), wie z.B. für Strafbehörden (Art. 302 StPO), für Konkursbeamte (Art. 11 Abs. 2 SchKG) oder – im Kanton Zug – für kantonale und gemeindliche Behördenmitglieder und Angestellte (§ 93 GOG). Der provisorische Sachwalter im Nachlassstundungsverfahren ist weder Mitglied der Strafbehörde noch des Konkursamtes. Ebenso wenig wird er durch die Einsetzung zum provisorischen Sachwalter durch das Kantonsgericht Zug zum kantonalen Behördenmitglied oder Angestellten. Folglich trifft ihn auch keine Anzeigepflicht.</w:t>
      </w:r>
    </w:p>
    <w:p>
      <w:r>
        <w:rPr>
          <w:b/>
        </w:rPr>
        <w:t>E. 3.5</w:t>
      </w:r>
    </w:p>
    <w:p>
      <w:r>
        <w:t>Nach dem Gesagten besteht kein Anlass, ein Disziplinarverfahren gegen Rechtsanwalt B.________ zu eröffnen.</w:t>
      </w:r>
    </w:p>
    <w:p>
      <w:r>
        <w:rPr>
          <w:b/>
        </w:rPr>
        <w:t>E. 4</w:t>
      </w:r>
    </w:p>
    <w:p>
      <w:r>
        <w:t>Auf die Erhebung von Kosten ist zu verzichten (Art. 20a Abs. 2 Ziff. 5 SchKG, § 5 Abs. 3 KoV OG).</w:t>
      </w:r>
    </w:p>
    <w:p>
      <w:r>
        <w:t>Seite 5/5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