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36 vom 10. September 2024</w:t>
      </w:r>
    </w:p>
    <w:p>
      <w:r>
        <w:t>ZG Obergericht, 2024-09-10, DE</w:t>
      </w:r>
    </w:p>
    <w:p>
      <w:r>
        <w:rPr>
          <w:b/>
        </w:rPr>
        <w:t xml:space="preserve">Quelle: </w:t>
      </w:r>
      <w:r>
        <w:t>https://mcp.opencaselaw.ch/entscheid/zg_obergericht_BA_2024_36</w:t>
      </w:r>
    </w:p>
    <w:p>
      <w:r>
        <w:t>FR: ZG_OBERGERICHT BA 2024 36 du 10 septembre 2024</w:t>
      </w:r>
    </w:p>
    <w:p>
      <w:r>
        <w:t>IT: ZG_OBERGERICHT BA 2024 36 del 10 settembre 2024</w:t>
      </w:r>
    </w:p>
    <w:p>
      <w:pPr>
        <w:pStyle w:val="Heading2"/>
      </w:pPr>
      <w:r>
        <w:t>Regeste</w:t>
      </w:r>
    </w:p>
    <w:p>
      <w:r>
        <w:t>II. Beschwerdeabteilung%z%Aufsichtsbehörde über Schuldbetreibung und Konkurs</w:t>
      </w:r>
    </w:p>
    <w:p>
      <w:pPr>
        <w:pStyle w:val="Heading2"/>
      </w:pPr>
      <w:r>
        <w:t>Erwägungen</w:t>
      </w:r>
    </w:p>
    <w:p>
      <w:r>
        <w:rPr>
          <w:b/>
        </w:rPr>
        <w:t>E. 1</w:t>
      </w:r>
    </w:p>
    <w:p>
      <w:r>
        <w:t>Anlass zur Beschwerde gibt die Frage, ob der Beschwerdeführer einen genügenden Interes- sennachweis gemäss Art. 8a Abs. 1 und 2 SchKG erbracht hat.</w:t>
      </w:r>
    </w:p>
    <w:p>
      <w:r>
        <w:rPr>
          <w:b/>
        </w:rPr>
        <w:t>E. 1.1</w:t>
      </w:r>
    </w:p>
    <w:p>
      <w:r>
        <w:t>Nach Art. 8a Abs. 1 SchKG kann jede Person, die ein Interesse glaubhaft macht, die Proto- kolle und Register der Betreibungs- und Konkursämter einsehen und sich Auszüge daraus geben lassen. Wer ein schützenswertes besonderes und gegenwärtiges Interesse hat, ist zur Einsicht berechtigt (BGE 141 III 281 E. 3.3, BGE 115 III 81 E. 2, je mit Hinweisen). Ob und wie weit einem Interessenten Einsicht zu gewähren und welche Auskunft zu erteilen ist, muss im Einzelfall aufgrund des Interessennachweises entschieden werden (vgl. BGE 141 III 281 E. 3.3, BGE 135 III 503 E. 3).</w:t>
      </w:r>
    </w:p>
    <w:p>
      <w:r>
        <w:t>Seite 3/5</w:t>
      </w:r>
    </w:p>
    <w:p>
      <w:r>
        <w:rPr>
          <w:b/>
        </w:rPr>
        <w:t>E. 1.2</w:t>
      </w:r>
    </w:p>
    <w:p>
      <w:r>
        <w:t>Das Einsichtsrecht in die Betreibungs- und Konkursakten gemäss Art. 8a SchKG dient mitun- ter dem Zweck, die Kreditwürdigkeit vor Abschluss eines Vertrages zu beurteilen (vgl. Art. 8a Abs. 2 SchKG; BGE 141 III 281 E. 3.3.1, BGE 121 III 81 E. 4a). Nach der bundesgerichtli- chen Praxis kann als Interessennachweis die Tatsache genügen, dass zwischen dem Ge- suchsteller und der Person, in deren Akten Einsicht verlangt wird, ein Prozess hängig ist (vgl. BGE 141 III 281 E. 3.3.1). Ein solches Interesse besteht beispielsweise bei Miterben, die um die Erbteilung prozessieren (BGE 99 III 41 E. 3), in Eigentums- und Ehrverletzungsprozessen (BGE 58 III 118) oder generell, wenn Betreibungen im Prozess eine Rolle spielen können (BGE 93 III E. 1 mit Hinweisen). Es ist ausreichend, dass ein Prozess in Betracht gezogen wird, da die Konsultation des Betreibungsregisters die Grundlage dafür bietet, die finanziellen Risiken eines Verfahrens abzuschätzen (vgl. zum Ganzen: Urteil des Bundesgerichts 5A_164/2021 vom 4. November 2021 E. 4.1.2).</w:t>
      </w:r>
    </w:p>
    <w:p>
      <w:r>
        <w:rPr>
          <w:b/>
        </w:rPr>
        <w:t>E. 1.3</w:t>
      </w:r>
    </w:p>
    <w:p>
      <w:r>
        <w:t>Das Betreibungsamt kam zum Schluss, dass der eingereichte Darlehensvertrag, die Details der Kontobuchung und die Mahnung den Anforderungen an den Interessennachweis nicht genügen. Es führte aus, der eingereichte Darlehensvertrag sei nicht unterschrieben. Zudem seien als Darlehensnehmer eine natürliche und eine juristische Person aufgeführt. Sodann laute der Zahlungsempfänger der Kontobuchung auf eine natürliche Person (C.________ und nicht die B.________ GmbH). Und schliesslich sei die Mahnung unklar; die B.________ GmbH werde nicht erwähnt (vgl. act. 5/6).</w:t>
      </w:r>
    </w:p>
    <w:p>
      <w:r>
        <w:rPr>
          <w:b/>
        </w:rPr>
        <w:t>E. 1.4</w:t>
      </w:r>
    </w:p>
    <w:p>
      <w:r>
        <w:t>Dagegen bringt der Beschwerdeführer vor, er habe das Einsichtsinteresse mit den einge- reichten Unterlagen "sauber" belegt. Elektronische Verträge via Mail/Messenger seien auch ohne Unterschrift gültig (vgl. act. 3).</w:t>
      </w:r>
    </w:p>
    <w:p>
      <w:r>
        <w:rPr>
          <w:b/>
        </w:rPr>
        <w:t>E. 1.5</w:t>
      </w:r>
    </w:p>
    <w:p>
      <w:r>
        <w:t>Bei den Akten liegt eine Vereinbarung vom 12. Januar 2024 zwischen dem Beschwerdefüh- rer als Darlehensgeber und "C.________, B.________ GmbH" bzw. der "B.________ GmbH C.________" als Darlehensnehmer über einen Darlehensbetrag von CHF 9'000.00. Das Dar- lehen sollte per 25. bzw. 26. Januar 2024 zurückbezahlt werden (vgl. act. 5/5/1). Die Verein- barung ist zwar nicht unterzeichnet. Indes sind Darlehensverträge grundsätzlich formfrei gül- tig. Schriftform ist gemäss Art. 9 Abs. 1 bzw. Art. 12 Abs. 1 KKG nur erforderlich, wenn das Darlehen gleichzeitig als Konsumkredit dem KKG unterliegt (vgl. Maurenbrecher/Schärer, Basler Kommentar, 7. A. 2020, Art. 312 OR N 4a). Vorliegend ist nicht von einem Konsum- kreditvertrag auszugehen, weil der Beschwerdeführer – soweit ersichtlich – weder gewerbs- mässig Konsumkredite gewährt noch unter Mitwirkung einer Schwarmkredit-Vermittlerin ge- werbsmässig Konsumkredite gewährt (vgl. Art. 2 KKG). Der Darlehensvertrag musste dem- nach nicht schriftlich abgeschlossen werden. Unklar ist, ob C.________ in seiner Funktion als Geschäftsführer und Gesellschafter der B.________ GmbH oder als Privatperson gehan- delt hat. Wie erwähnt sind in der Vereinbarung vom 12. Januar 2024 als Darlehensnehmer sowohl C.________ als auch die B.________ GmbH aufgeführt. Die Banküberweisung in Höhe von CHF 9'000.00 erfolgte an C.________ zwecks "Deposit D.________" (vgl. act. 5/5/2). Der aufgeführte Zahlungsempfänger ("C.________" mit Angabe der Privatadres- se) spricht für C.________ als Darlehensnehmer, während der Zahlungszweck ("Deposit D.________") eher auf die B.________ GmbH als Darlehensnehmerin hindeutet. Die Mah- nung wiederum war ausschliesslich an "C.________" gerichtet (vgl. act. 5/5/3), wobei auch hier fraglich ist, ob C.________ als Privatperson oder in seiner Funktion als Geschäftsführer und Gesellschafter der B.________ GmbH angesprochen wurde. Aufgrund des Darlehens-</w:t>
      </w:r>
    </w:p>
    <w:p>
      <w:r>
        <w:t>Seite 4/5 vertrages, der Kontobuchung und der Mahnung lässt sich nicht ohne Weiteres sagen, wer Vertragspartei des Beschwerdeführers ist. Ein Prozess ist (noch) nicht hängig und die Frage der Passivlegitimation für eine allfällige Klage des Beschwerdeführers nicht geklärt. Bei die- ser Konstellation muss es dem Beschwerdeführer möglich sein, die Zahlungsfähigkeit der po- tentiellen Vertragspartner zu überprüfen, Einsicht in deren Betreibungsregister zu nehmen und einen Betreibungsauszug zu bestellen. Der Beschwerdeführer hat ein berechtigtes Inter- esse daran, nur einen solventen Gegner einzuklagen.</w:t>
      </w:r>
    </w:p>
    <w:p>
      <w:r>
        <w:rPr>
          <w:b/>
        </w:rPr>
        <w:t>E. 1.6</w:t>
      </w:r>
    </w:p>
    <w:p>
      <w:r>
        <w:t>Nach dem Gesagten hat der Beschwerdeführer ein hinreichendes Interesse an der Einsicht in das Betreibungsregister über die B.________ GmbH glaubhaft gemacht. Demzufolge ist die Beschwerde gutzuheissen und das Betreibungsamt Zug anzuweisen, dem Beschwerde- führer entsprechend Einsicht ins Betreibungsregister zu gewähren.</w:t>
      </w:r>
    </w:p>
    <w:p>
      <w:r>
        <w:rPr>
          <w:b/>
        </w:rPr>
        <w:t>E. 2</w:t>
      </w:r>
    </w:p>
    <w:p>
      <w:r>
        <w:t>Das Beschwerdeverfahren vor der Aufsichtsbehörde über Schuldbetreibung und Konkurs ist grundsätzlich kostenlos (Art. 20a Abs. 2 Ziff. 5 SchKG i.V.m. Art. 61 Abs. 2 lit. a GebV SchKG), und es darf keine Parteientschädigung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