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34 vom 22. Oktober 2024</w:t>
      </w:r>
    </w:p>
    <w:p>
      <w:r>
        <w:t>ZG Obergericht, 2024-10-22, DE</w:t>
      </w:r>
    </w:p>
    <w:p>
      <w:r>
        <w:rPr>
          <w:b/>
        </w:rPr>
        <w:t xml:space="preserve">Quelle: </w:t>
      </w:r>
      <w:r>
        <w:t>https://mcp.opencaselaw.ch/entscheid/zg_obergericht_BA_2024_34</w:t>
      </w:r>
    </w:p>
    <w:p>
      <w:r>
        <w:t>FR: ZG_OBERGERICHT BA 2024 34 du 22 octobre 2024</w:t>
      </w:r>
    </w:p>
    <w:p>
      <w:r>
        <w:t>IT: ZG_OBERGERICHT BA 2024 34 del 22 ottobre 2024</w:t>
      </w:r>
    </w:p>
    <w:p>
      <w:pPr>
        <w:pStyle w:val="Heading2"/>
      </w:pPr>
      <w:r>
        <w:t>Regeste</w:t>
      </w:r>
    </w:p>
    <w:p>
      <w:r>
        <w:t>II. Beschwerdeabteilung%z%Aufsichtsbehörde über Schuldbetreibung und Konkurs</w:t>
      </w:r>
    </w:p>
    <w:p>
      <w:pPr>
        <w:pStyle w:val="Heading2"/>
      </w:pPr>
      <w:r>
        <w:t>Erwägungen</w:t>
      </w:r>
    </w:p>
    <w:p>
      <w:r>
        <w:rPr>
          <w:b/>
        </w:rPr>
        <w:t>E. 1</w:t>
      </w:r>
    </w:p>
    <w:p>
      <w:r>
        <w:t>April 2021 bis 30. Juni 2024 Untermieterin der Konkursitin gewesen sei und alle Mietzah- lungen für diesen Zeitraum geleistet habe (act. 9/12). Ein ausschliesslicher Gewahrsam der Beschwerdeführerin an den Fahrzeugen im Mietobjekt lässt sich aus diesen Dokumenten nicht zweifelsfrei ableiten. Solche Vermögensgegenstände, deren Zugehörigkeit zur Kon- kursmasse zweifelhaft erscheint, sind in das Inventar aufzunehmen und – wenn nötig – zu siegeln (vgl. E. 1.2). Dritte, welche ihr Eigentum an Vermögenswerten, die sich im Gewahr- sam des Schuldners befinden, geltend machen wollen, müssen nach den Regeln über die Aussonderung vorgehen (vgl. Art. 242 Abs. 1 und 2 SchKG, Art. 45 ff. KOV; vgl. Lustenber- ger/Schenker, a.a.O., Art. 221 SchKG N 26). Streitigkeiten betreffend den Bestand oder die Höhe einer Forderung oder eines Rechts sind im Rahmen der materiellen Prüfung dem Rich- ter zu unterbreiten und fallen nicht in die Kompetenz der Aufsichtsbehörde (vgl. Lustenber- ger/Schenker, a.a.O., Art. 221 SchKG N 24a).</w:t>
      </w:r>
    </w:p>
    <w:p>
      <w:r>
        <w:rPr>
          <w:b/>
        </w:rPr>
        <w:t>E. 1.1</w:t>
      </w:r>
    </w:p>
    <w:p>
      <w:r>
        <w:t>Die Beschwerdeführerin macht geltend, das Mietobjekt und die darin befindlichen Fahrzeuge stünden in ihrem ausschliesslichen Gewahrsam und gerade nicht im Gewahrsam der Kon- kursitin, weshalb die Siegelung des Mietobjekts und der Fahrzeuge durch das Konkursamt unzulässig sei. Wenn das Konkursamt der Auffassung sei, die Fahrzeuge würden Teil der Konkursmasse bilden, habe es dies auf dem Weg der Admassierungsklage gemäss Art. 242 SchKG geltend zu machen. Der Untermietvertrag sei gültig abgeschlossen worden. G.________ sei als alleiniger Geschäftsführer, faktisches Organ und Alleinaktionär der Be- schwerdeführerin seit der Gründung der Beschwerdeführerin befugt und berechtigt (gewe- sen), sie rechtsgeschäftlich zu vertreten und Verträge abzuschliessen. Der damalige Verwal- tungsrat (H.________) und der heutige (I.________) hätten ihn dazu ermächtigt. Abgesehen davon sei durch das Handeln von G.________ eine Vertretungswirkung im Sinne von Art. 33 Abs. 3 OR eingetreten und durch die Bezahlung des Mietzinses der Untermietvertrag konklu- dent genehmigt worden. Darüber hinaus befänden sich im Mietobjekt nachweislich Vermö- genswerte von Dritten, die nicht zur Konkursmasse gehörten (vgl. act. 1 Rz 16 ff.).</w:t>
      </w:r>
    </w:p>
    <w:p>
      <w:r>
        <w:rPr>
          <w:b/>
        </w:rPr>
        <w:t>E. 1.2</w:t>
      </w:r>
    </w:p>
    <w:p>
      <w:r>
        <w:t>Gemäss Art. 221 SchKG schreitet das Konkursamt sofort nach Empfang des Konkurser- kenntnisses zur Aufnahme des Inventars über das zur Konkursmasse gehörende Vermögen und trifft die zur Sicherung desselben erforderlichen Massnahmen. Als Sicherungsmassnah- men fallen insbesondere die umgehende Schliessung und Siegelung von Warenlagern in Be- tracht (Art. 223 Abs. 1 SchKG). Dabei handelt es sich um Anordnungen, die mit der Inven- taraufnahme einhergehen (vgl. Urteil des Bundesgerichts 5A_264/2017 vom 13. September 2017 E. 3.1). Im Inventar ist das ganze in der Schweiz liegende Vermögen aufzuzeichnen, d.h. alle Vermögensgegenstände (Sachen und Rechte), die sich einerseits im blossen Ge- wahrsam des Schuldners befinden (vgl. Art. 930 ZGB), also nicht nur die (voraussichtlich) zur Konkursmasse gehörenden, und anderseits diejenigen Vermögenswerte, die sich nicht im Gewahrsam des Schuldners befinden, von diesem aber als sein Eigentum beansprucht wer- den, sowie solche, die nach den Kenntnissen des Konkursamtes möglicherweise dem Schuldner gehören. In das Inventar müssen also nicht nur alle dem Konkursbeschlag unter- liegenden Vermögensstücke aufgenommen werden, da im Zeitpunkt der Inventaraufnahme noch offen ist, welche Vermögensgegenstände zur Konkursmasse gehören und welche nicht. Es sind damit auch solche Vermögensgegenstände in das Inventar aufzunehmen, deren Zu- gehörigkeit zur Konkursmasse zweifelhaft erscheint (Lustenberger/Schenker, Basler Kom- mentar, 3. A. 2021, Art. 221 SchKG N 7; vgl. auch Obergericht des Kantons Obwalden, OGVE 2016/17 Nr. 12).</w:t>
      </w:r>
    </w:p>
    <w:p>
      <w:r>
        <w:t>Seite 4/5</w:t>
      </w:r>
    </w:p>
    <w:p>
      <w:r>
        <w:rPr>
          <w:b/>
        </w:rPr>
        <w:t>E. 1.3</w:t>
      </w:r>
    </w:p>
    <w:p>
      <w:r>
        <w:t>Unbestritten ist, dass die Konkursitin und D.________ am 1. Juli 2019 einen Mietvertrag über die Lagerhalle 4e links an der Adresse E.________ in F.________ abgeschlossen haben (vgl. Vi act. 55). Aufgrund des Mietvertrages besteht die Vermutung, dass sich die Fahrzeuge in den Lagerhallen im Gewahrsam der Konkursitin befinden (vgl. Art. 930 ZGB) und damit voraussichtlich zur Konkursmasse gehören. Dies gilt umso mehr, als die Konkursitin im Han- del mit Luxusfahrzeugen tätig war und es sich bei den sichergestellten Fahrzeugen gerade um solche handelt. Folglich musste das Konkursamt zur Sicherung der Konkursmasse die gemieteten Räumlichkeiten mit den darin befindlichen Fahrzeugen siegeln.</w:t>
      </w:r>
    </w:p>
    <w:p>
      <w:r>
        <w:rPr>
          <w:b/>
        </w:rPr>
        <w:t>E. 1.4</w:t>
      </w:r>
    </w:p>
    <w:p>
      <w:r>
        <w:t>Die Beschwerdeführerin behauptet, sie sei – zusammen mit weiteren Dritten – Eigentümerin der Fahrzeuge im Mietobjekt. Sie stützt sich dabei auf einen Untermietvertrag, der am 31. März 2021 zwischen ihr und der Konkursitin über das Mietobjekt abgeschlossen worden sein soll (vgl. act. 1 Rz 10 und 28, act. 1/5). Dazu ist zu bemerken, dass ein ausschliesslicher Gewahrsam der Beschwerdeführerin an den Fahrzeugen im Mietobjekt lediglich aufgrund dieses Untermietvertrages nicht nachgewiesen ist. Insbesondere ist fraglich, ob G.________ für die Beschwerdeführerin zeichnungsberechtigt war. Unklar ist weiter, ob auf das – in Er- gänzung zur Beschwerde – eingereichte Schreiben des Vermieters vom 30. Juni 2024 abge- stellt werden kann, in welchem dieser bestätigt, dass die Beschwerdeführerin im Zeitraum</w:t>
      </w:r>
    </w:p>
    <w:p>
      <w:r>
        <w:rPr>
          <w:b/>
        </w:rPr>
        <w:t>E. 2</w:t>
      </w:r>
    </w:p>
    <w:p>
      <w:r>
        <w:t>Nach dem Gesagten erweist sich die Beschwerde als unbegründet und ist demnach abzu- weisen. Das Verfahren vor der kantonalen Aufsichtsbehörde über Schuldbetreibung und Konkurs ist – von hier nicht interessierenden Ausnahmen abgesehen – kostenlos (Art. 20a Abs. 2 Ziff. 5 SchKG) und Parteientschädigungen dürfen nicht zugesprochen werden (Art. 62 Abs. 2 GebV SchKG).</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