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78 vom 5. Dezember 2023</w:t>
      </w:r>
    </w:p>
    <w:p>
      <w:r>
        <w:t>ZG Obergericht, 2023-12-05, DE</w:t>
      </w:r>
    </w:p>
    <w:p>
      <w:r>
        <w:rPr>
          <w:b/>
        </w:rPr>
        <w:t xml:space="preserve">Quelle: </w:t>
      </w:r>
      <w:r>
        <w:t>https://mcp.opencaselaw.ch/entscheid/zg_obergericht_BA_2023_78</w:t>
      </w:r>
    </w:p>
    <w:p>
      <w:r>
        <w:t>FR: ZG_OBERGERICHT BA 2023 78 du 5 décembre 2023</w:t>
      </w:r>
    </w:p>
    <w:p>
      <w:r>
        <w:t>IT: ZG_OBERGERICHT BA 2023 78 del 5 dicembre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im Wesentlichen vor, der angefochtene Zahlungsbefehl ent- halte in Abweichung von Art. 6 VFRR lediglich eine mitgedruckte Unterschrift und sei somit als ungültiger Entwurf zu betrachten. Zwar erlaube die Weisung Nr. 3 der zuständigen Abtei- lung des Bundesamtes für Justiz in Ziffer 21 das Mitdrucken von Unterschriften, und das Bundesgericht habe diese Praxis im Entscheid 5A_873/2022 vom 23. Januar 2023 bestätigt. Seitdem habe beim Betreibungsamt Gossau SG ein serienmässiger Missbrauch nachgewie- sen werden können. Eine langzeitabwesende Amtsleiterin habe ihre Unterschrift zur Verfü- gung gestellt, und die Mitarbeitenden hätten diese weiter genutzt. Eine entsprechende Straf- anzeige sei eingereicht worden, im April 2023 auch gegen die Mitarbeiter des Betreibungs- amts Zug, deren Amtsleiterin eine völlig von der handschriftlichen Unterschrift abweichende Version habe einscannen lassen. Eine Praxisänderung des Bundesgerichts sei in mehreren, voneinander unabhängigen Verfahren verlangt worden. Diese seien immer noch hängig (vgl. act. 1 Rz 1).</w:t>
      </w:r>
    </w:p>
    <w:p>
      <w:r>
        <w:rPr>
          <w:b/>
        </w:rPr>
        <w:t>E. 1.1</w:t>
      </w:r>
    </w:p>
    <w:p>
      <w:r>
        <w:t>Gemäss Art. 1 der Verordnung über die im Betreibungs- und Konkursverfahren zu verwen- denden Formulare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1.1). Nicht weiter hilft der Beschwerdeführerin, dass sie bei der Staats- anwaltschaft des Kantons Zug eine Strafanzeige gegen das Betreibungsamt der Stadt Zug bzw. deren Mitarbeitende eingereicht hat. Eine Strafanzeige beweist den in der Anzeige geschilderten Sachverhalt nicht. Schliesslich mögen zwar diverse Beschwerden zu dieser Frage vor Bundesgericht hängig sein. Indes hat das Bundesgericht bislang keine Praxis- änderung vorgenommen. 2. Im Weiteren macht die Beschwerdeführerin geltend, bis zum Beweis des Gegenteils müsse davon ausgegangen werden, dass die vermeintlich unterzeichnende Amtsleiterin des Betrei- bungsamtes Zug am Zahlungsbefehl überhaupt nicht mitgewirkt habe. Das sei erstens miss- bräuchlich und zweitens gemäss den einschlägigen Bestimmungen des Verwaltungsverfah- rens (die auch hier anwendbar seien) nicht zulässig (vgl. act. 1 Rz 2). Wie soeben dargelegt, sind digitalisierte Unterschriften auf offiziellen Formularen, die vom Betreibungsamt verwendet werden müssen, nach der Praxis des Bundesgerichts zulässig. Der beanstandete Zahlungsbefehl wurde korrekt ausgestellt, und ein Missbrauch ist nicht nachgewiesen (vgl. vorne E. 1.1). Sodann verkennt die Beschwerdeführerin, dass die Be- stimmungen für Verwaltungsverfahren nicht analog für Betreibungsverfahren gelten. Im Be- reich des Schuldbetreibungs- und Konkursrechts ist eine Faksimileunterschrift auf einem Zahlungsbefehl eben gerade ausdrücklich erlaubt (vgl. vorne E. 1.1).</w:t>
      </w:r>
    </w:p>
    <w:p>
      <w:r>
        <w:t>Seite 4/5</w:t>
      </w:r>
    </w:p>
    <w:p>
      <w:r>
        <w:rPr>
          <w:b/>
        </w:rPr>
        <w:t>E. 3</w:t>
      </w:r>
    </w:p>
    <w:p>
      <w:r>
        <w:t>Schliesslich moniert die Beschwerdeführerin sinngemäss, die kantonalen und kommunalen Behörden verfügten über keine hoheitlichen Rechte, weshalb ihre Amtshandlungen von vornherein nichtig seien. Die Schweiz befinde sich mittlerweile vollständig im "Rechtsbank- rott" (vgl. act. 1 Rz 3).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4</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