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57 vom 7. November 2023</w:t>
      </w:r>
    </w:p>
    <w:p>
      <w:r>
        <w:t>ZG Obergericht, 2023-11-07, DE</w:t>
      </w:r>
    </w:p>
    <w:p>
      <w:r>
        <w:rPr>
          <w:b/>
        </w:rPr>
        <w:t xml:space="preserve">Quelle: </w:t>
      </w:r>
      <w:r>
        <w:t>https://mcp.opencaselaw.ch/entscheid/zg_obergericht_BA_2023_57</w:t>
      </w:r>
    </w:p>
    <w:p>
      <w:r>
        <w:t>FR: ZG_OBERGERICHT BA 2023 57 du 7 novembre 2023</w:t>
      </w:r>
    </w:p>
    <w:p>
      <w:r>
        <w:t>IT: ZG_OBERGERICHT BA 2023 57 del 7 novembre 2023</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zur Begründung im Wesentlichen vor, die Gläubigerin habe die Betreibung gegen ihn eingeleitet, um zusätzliche Gesundheitskosten für die gemeinsamen Kinder erhältlich zu machen. Die Aufteilung dieser Kosten sei im Scheidungsurteil vom 26. September 2018 geregelt. Danach sei er verpflichtet, den vereinbarten Kindesunterhalt zu leisten. Mit diesen Beträgen seien sämtliche Gesundheitskosten für die Kinder gedeckt. Es bestehe keine rechtliche Grundlage, die ihn verpflichte, zusätzliche Kosten für Behand- lungen der Kinder, die ohne sein vorhergehendes Einverständnis entstanden seien, zu über- nehmen. Die Gläubigerin habe die Betreibung eingeleitet, obwohl sie über alle relevanten In- formationen und rechtlichen Vereinbarungen in Bezug auf den Kindesunterhalt und die Ge- sundheitskosten informiert sei. Die wider besseres Wissen eingeleitete Betreibung sei miss- bräuchlich. Sie ziele darauf ab, ihn ungerechtfertigten finanziellen Belastungen auszusetzen, und verstosse gegen die klaren Vereinbarungen in der Scheidungskonvention.</w:t>
      </w:r>
    </w:p>
    <w:p>
      <w:r>
        <w:rPr>
          <w:b/>
        </w:rPr>
        <w:t>E. 2</w:t>
      </w:r>
    </w:p>
    <w:p>
      <w:r>
        <w:t>Das SchKG erlaubt die Einleitung eines Betreibungsverfahrens, ohne dass der Betreibende den Bestand seiner Forderung nachweisen muss. Ein Zahlungsbefehl als Grundlage des Vollstreckungsverfahrens kann grundsätzlich gegenüber jedermann erwirkt werden, unab- hängig davon, ob tatsächlich eine Schuld besteht oder nicht. Nach der ständigen Rechtspre- chung des Bundesgerichts ist die Schwelle zum Rechtsmissbrauch erst dann überschritten, wenn mit der Betreibung offensichtlich Ziele verfolgt werden, die mit der Zwangsvollstreckung nicht das Geringste zu tun haben. Nichtigkeit wegen Rechtsmissbrauchs kann dann vorlie- gen, wenn mit einer Betreibung sachfremde Ziele verfolgt werden, etwa wenn bloss die Kre- ditwürdigkeit des (angeblichen) Schuldners geschädigt werden soll oder wenn zwecks Schi- kane ein völlig übersetzter Betrag in Betreibung gesetzt wird. Allerdings steht es weder dem Betreibungsamt noch der Aufsichtsbehörde zu, über die Begründetheit der in Betreibung ge- setzten Forderung zu entscheiden. Der Vorwurf des Betriebenen darf sich deshalb nicht dar- auf beschränken, dass der umstrittene Anspruch rechtsmissbräuchlich erhoben werde. So- lange der Betreibende mit der Betreibung tatsächlich die Einforderung eines von ihm behaup- teten Anspruchs bezweckt, ist Rechtsmissbrauch weitgehend ausgeschlossen (Urteil des Bundesgerichts 5A_838/2016 vom 13. März 2017 E. 2.1).</w:t>
      </w:r>
    </w:p>
    <w:p>
      <w:r>
        <w:rPr>
          <w:b/>
        </w:rPr>
        <w:t>E. 3</w:t>
      </w:r>
    </w:p>
    <w:p>
      <w:r>
        <w:t>In Ziffer 1.7 der Scheidungskonvention vereinbarten die Parteien, dass sie allfällige ausser- ordentliche Kosten betreffend die Kinder (wie Zahnkorrekturen, Sehhilfen, schulische För- dermassnahmen etc.) nach vorgängiger Absprache je zur Hälfte zu übernehmen, soweit die- se nicht durch Versicherungsleistungen oder anderswie gedeckt sind. Die Gläubigerin ver- langt mit der Betreibung die Beteiligung des Beschwerdeführers an den Kosten für die zahnärztliche und psychotherapeutische Behandlung der Kinder sowie für weitere ausseror- dentliche Kosten. Diese Kosten legte sie in einer Aufstellung zum Schreiben vom 5. Septem- ber 2023 detailliert dar. Demgegenüber erachtet der Beschwerdeführer diese Forderung als ungerechtfertigt, da er nicht verpflichtet sei, ausserordentliche Kosten betreffend die Kinder, die ohne sein vorhergehendes Einverständnis entstanden seien, zu übernehmen. Zwischen den Parteien besteht somit ein Konflikt über den Bestand der Forderung. Darüber zu ent-</w:t>
      </w:r>
    </w:p>
    <w:p>
      <w:r>
        <w:t>Seite 4/4 scheiden steht weder dem Betreibungsamt noch der II. Beschwerdeabteilung als Aufsichts- behörde über Schuldbetreibung und Konkurs zu. Offensichtlich verfolgt die Gläubigerin mit der Betreibung aber nicht Ziele, die mit der Zwangsvollstreckung nicht das Geringste zu tun haben. Der Vorwurf des Beschwerdeführers beschränkt sich denn auch bloss darauf, dass der umstrittene Anspruch rechtsmissbräuchlich erhoben werde. Im Lichte der zitierten Recht- sprechung des Bundesgerichts führt dies aber nicht zur Nichtigkeit der Betreibung. Die Be- schwerde erweist sich daher als unbegründet und ist abzuweisen.</w:t>
      </w:r>
    </w:p>
    <w:p>
      <w:r>
        <w:rPr>
          <w:b/>
        </w:rPr>
        <w:t>E. 4</w:t>
      </w:r>
    </w:p>
    <w:p>
      <w:r>
        <w:t>Das Verfahren vor der kantonalen Aufsichtsbehörde über Schuldbetreibung und Konkurs ist – von hier nicht interessierenden Ausnahmen abgesehen –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