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52 vom 27. September 2023</w:t>
      </w:r>
    </w:p>
    <w:p>
      <w:r>
        <w:t>ZG Obergericht, 2023-09-27, DE</w:t>
      </w:r>
    </w:p>
    <w:p>
      <w:r>
        <w:rPr>
          <w:b/>
        </w:rPr>
        <w:t xml:space="preserve">Quelle: </w:t>
      </w:r>
      <w:r>
        <w:t>https://mcp.opencaselaw.ch/entscheid/zg_obergericht_BA_2023_52</w:t>
      </w:r>
    </w:p>
    <w:p>
      <w:r>
        <w:t>FR: ZG_OBERGERICHT BA 2023 52 du 27 septembre 2023</w:t>
      </w:r>
    </w:p>
    <w:p>
      <w:r>
        <w:t>IT: ZG_OBERGERICHT BA 2023 52 del 27 settembre 2023</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vor, der angefochtene Zahlungsbefehl enthalte in Abweichung von Art. 6 VFRR lediglich eine mitgedruckte Unterschrift und sei somit als ungültiger Entwurf zu betrachten. Zwar erlaube die Weisung Nr. 3 der zuständigen Abteilung des Bundesamtes für Justiz in Ziffer 21 das Mitdrucken von Unterschriften, und das Bundesgericht habe diese Praxis im Entscheid 5A_873/2022 vom 23. Januar 2023 bestätigt. Seitdem habe beim Be- treibungsamt Gossau SG ein serienmässiger Missbrauch nachgewiesen werden können. Ei- ne langzeitabwesende Amtsleiterin habe ihre Unterschrift zur Verfügung gestellt, und die Mit- arbeitenden hätten diese weiter genutzt. Eine entsprechende Strafanzeige sei eingereicht worden, im April 2023 auch gegen die Mitarbeiter des Betreibungsamts Zug, deren Amtsleite- rin eine völlig von der handschriftlichen Unterschrift abweichende Version habe einscannen lassen. Eine Praxisänderung des Bundesgerichts sei in mehreren, voneinander unabhängi- gen Verfahren verlangt worden. Diese seien immer noch hängig (vgl. act. 1 Rz 1).</w:t>
      </w:r>
    </w:p>
    <w:p>
      <w:r>
        <w:rPr>
          <w:b/>
        </w:rPr>
        <w:t>E. 1.1</w:t>
      </w:r>
    </w:p>
    <w:p>
      <w:r>
        <w:t>Gemäss Art. 1 der Verordnung über die im Betreibungs- und Konkursverfahren zu verwen- denden Formulare und Register sowie die Rechnungsführung (VFRR; SR 281.31) sind im Betreibungs- und Konkursverfahren die für eine einheitliche Durchführung der Vorschriften des SchKG sowie der zugehörigen Verordnungen erforderlichen Formulare zu verwenden. Die Formulare sind von den nach den kantonalen Vorschriften hierzu befugten Beamten oder Angestellten des Betreibungs- bzw. Konkursamtes zu unterzeichnen; es dürfen Faksimile- stempel verwendet werden (Art. 6 VFRR; vgl. auch Wüthrich/Schoch, Basler Kommentar,</w:t>
      </w:r>
    </w:p>
    <w:p>
      <w:r>
        <w:rPr>
          <w:b/>
        </w:rPr>
        <w:t>E. 1.2</w:t>
      </w:r>
    </w:p>
    <w:p>
      <w:r>
        <w:t>An diesem Ergebnis vermögen die Ausführungen der Beschwerdeführerin nichts zu ändern. Bei den angeblichen Missständen beim Betreibungsamt Gossau handelt es sich um blosse Behauptungen, die durch nichts belegt sind. Ohnehin ist unklar, wie sich diese auf das Be- treibungsamt Zug auswirken sollen. Eine bloss virtuelle Missbrauchsgefahr genügt zudem nicht (vgl. vorne E. 1.1). Nicht weiter hilft der Beschwerdeführerin, dass sie bei der Staats- anwaltschaft des Kantons Zug eine Strafanzeige gegen das Betreibungsamt der Stadt Zug bzw. deren Mitarbeitende eingereicht hat. Eine Strafanzeige beweist den in der Anzeige ge- schilderten Sachverhalt nicht. Schliesslich mögen zwar diverse Beschwerden zu dieser Fra- ge vor Bundesgericht hängig sein. Indes hat das Bundesgericht bislang keine Praxisände- rung vorgenommen. 2. Im Weiteren macht die Beschwerdeführerin geltend, bis zum Beweis des Gegenteils müsse davon ausgegangen werden, dass die vermeintlich unterzeichnende Amtsleiterin des Betrei- bungsamtes Zug am Zahlungsbefehl überhaupt nicht mitgewirkt habe. Das sei erstens miss- bräuchlich und zweitens gemäss den einschlägigen Bestimmungen des Verwaltungsverfah- rens (die auch hier anwendbar seien) nicht zulässig (vgl. act. 1 Rz 2). Wie soeben dargelegt, sind digitalisierte Unterschriften auf offiziellen Formularen, die vom Betreibungsamt verwendet werden müssen, nach der Praxis des Bundesgerichts zulässig. Der beanstandete Zahlungsbefehl wurde korrekt ausgestellt, und ein Missbrauch ist nicht nachgewiesen (vgl. vorne E. 1.1). Sodann verkennt die Beschwerdeführerin, dass die Be- stimmungen für Verwaltungsverfahren nicht analog für Betreibungsverfahren gelten. Im Be- reich des Schuldbetreibungs- und Konkursrechts ist eine Faksimileunterschrift auf einem Zahlungsbefehl eben gerade ausdrücklich erlaubt (vgl. vorne E. 1.1).</w:t>
      </w:r>
    </w:p>
    <w:p>
      <w:r>
        <w:t>Seite 4/5</w:t>
      </w:r>
    </w:p>
    <w:p>
      <w:r>
        <w:rPr>
          <w:b/>
        </w:rPr>
        <w:t>E. 3</w:t>
      </w:r>
    </w:p>
    <w:p>
      <w:r>
        <w:t>Ferner rügt die Beschwerdeführerin, auf der zweiten Seite des Zahlungsbefehls müsse je- weils die Unterschrift der zustellenden Person angebracht werden. Auf dem beanstandeten Zahlungsbefehl gebe es zwar ein "Gekritzel", das eine Unterschrift darstellen könnte. Offen bleibe jedoch, wer das gewesen sei und ob dieser Jemand eine Legitimation zur Zustellung habe. Bei unleserlichen Unterschriften müsse – gemäss Basler Kommentar zu Art. 14 OR – immer angegeben werden, wer diese geleistet habe. Auch dieser Formmangel mache den Zahlungsbefehl ungültig (act. 1 Rz 3).</w:t>
      </w:r>
    </w:p>
    <w:p>
      <w:r>
        <w:rPr>
          <w:b/>
        </w:rPr>
        <w:t>E. 3.1</w:t>
      </w:r>
    </w:p>
    <w:p>
      <w:r>
        <w:t>Gemäss Art. 72 Abs. 1 SchKG geschieht die Zustellung des Zahlungsbefehls durch den Be- treibungsbeamten, einen Angestellten des Amtes oder die Post. Im Anfechtungsfall trägt in erster Linie das Betreibungsamt die Beweislast für die ordnungsgemässe Zustellung von Be- treibungsurkunden. Dazu dient namentlich die gemäss Art. 72 Abs. 2 SchKG vorgeschriebe- ne Bescheinigung des Überbringers, an welchem Tag und an wen die Zustellung erfolgt ist. Die Bescheinigung auf dem Zahlungsbefehl – und zwar sowohl diejenige auf dem für den Schuldner als auch diejenige auf dem für den Gläubiger bestimmten Exemplar (Art. 70 Abs. 1 SchKG) – fällt dabei in den Anwendungsbereich von Art. 8 Abs. 2 SchKG und stellt rechtlich eine öffentliche Urkunde im Sinne von Art. 9 ZGB dar. Als solche schafft die Bescheinigung – formell korrektes Zustandekommen vorausgesetzt – so lange Beweis, als nicht nachgewie- sen ist, dass sie inhaltlich unrichtig ist. Insofern statuiert das Gesetz eine Vermutung, welche nur durch den Beweis des Gegenteils im Sinne eines Hauptbeweises entkräftet werden kann (Art. 8 Abs. 2 SchKG und Art. 9 Abs. 1 ZGB; vgl. Urteil des Bundesgerichts 5A_418/2017 vom 31. Januar 2018 E. 3.2).</w:t>
      </w:r>
    </w:p>
    <w:p>
      <w:r>
        <w:rPr>
          <w:b/>
        </w:rPr>
        <w:t>E. 3.2</w:t>
      </w:r>
    </w:p>
    <w:p>
      <w:r>
        <w:t>Im vorliegenden Fall liegt eine den gesetzlichen Erfordernissen von Art. 72 Abs. 2 SchKG entsprechende Zustellbescheinigung vor (vgl. act. 1/1). Diesen Beweis vermag die Be- schwerdeführerin nicht umzustossen. Die Beschwerdeführerin legt keine Belege vor, welche die inhaltliche Unrichtigkeit der Zustellbescheinigung auf dem Schuldnerdoppel nachweisen könnten. Sie nennt auch keine anderen Beweismittel, mit denen eine fehlerhafte Zustellung dargetan werden könnte. Damit ist der Beschwerdeführerin der Nachweis der Unrichtigkeit der Zustellbescheinigung nicht gelungen. Der Basler Kommentar zu Art. 14 OR ist in diesem Zusammenhang nicht einschlägig.</w:t>
      </w:r>
    </w:p>
    <w:p>
      <w:r>
        <w:rPr>
          <w:b/>
        </w:rPr>
        <w:t>E. 4</w:t>
      </w:r>
    </w:p>
    <w:p>
      <w:r>
        <w:t>Schliesslich moniert die Beschwerdeführerin, weder die Schweizerische Eidgenossenschaft noch der Kanton Zug seien heute noch zur Vornahme irgendwelcher hoheitlicher Handlungen (wie im Betreibungswesen) berechtigt. Sie seien nur noch Unternehmen und das ganze Rechtssystem sei nur noch Schein. Die Schweiz befinde sich mittlerweile vollständig im "Rechtsbankrott" (vgl. act. 1 Rz 4). Die SchKG-Beschwerde ist ein ordentliches Rechtsmittel, mit welchem nicht formell rechts- kräftige Verfügungen der Betreibungs- und Konkursorgane bei der Aufsichtsbehörde ange- fochten werden können. Sie dient der einheitlichen und richtigen Anwendung des Betrei- bungs- und Konkursrechts und ermöglicht die Überprüfung der zwangsvollstreckungsrechtli- chen Verfügungen auf ihre Gesetzmässigkeit und Angemessenheit. Ferner kann der Vollzug einer Amtshandlung, deren Vornahme in unbegründeter Weise verweigert oder verzögert worden ist, angeordnet werden (vgl. Cometta/Möckli, Basler Kommentar, a.a.O., Art. 17 SchKG N 2). Zur Diskussion der Frage, ob die Schweizerische Eidgenossenschaft (oder die Kantone und Gemeinden) überhaupt hoheitlich handeln dürfen, steht die SchKG-Beschwerde</w:t>
      </w:r>
    </w:p>
    <w:p>
      <w:r>
        <w:t>Seite 5/5 nicht zur Verfügung. Ohnehin steht hinter dem Ansinnen der Beschwerdeführerin kein schutzwürdiges Interesse. Vielmehr handelt es sich um floskelhafte Ausführungen aus dem Umfeld der Reichsbürger- und ähnlicher Bewegungen (vgl. Urteil des Bundesgerichts 5D_228/2021 vom 23. Dezember 2021 E. 2).</w:t>
      </w:r>
    </w:p>
    <w:p>
      <w:r>
        <w:rPr>
          <w:b/>
        </w:rPr>
        <w:t>E. 5</w:t>
      </w:r>
    </w:p>
    <w:p>
      <w:r>
        <w:t>Nach dem Gesagten erweist sich die Beschwerde als unbegründet und ist demnach abzu- weisen.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