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ZG_OBERGERICHT BA 2023 50 vom 19. September 2023</w:t>
      </w:r>
    </w:p>
    <w:p>
      <w:r>
        <w:t>ZG Obergericht, 2023-09-19, DE</w:t>
      </w:r>
    </w:p>
    <w:p>
      <w:r>
        <w:rPr>
          <w:b/>
        </w:rPr>
        <w:t xml:space="preserve">Quelle: </w:t>
      </w:r>
      <w:r>
        <w:t>https://mcp.opencaselaw.ch/entscheid/zg_obergericht_BA_2023_50</w:t>
      </w:r>
    </w:p>
    <w:p>
      <w:r>
        <w:t>FR: ZG_OBERGERICHT BA 2023 50 du 19 septembre 2023</w:t>
      </w:r>
    </w:p>
    <w:p>
      <w:r>
        <w:t>IT: ZG_OBERGERICHT BA 2023 50 del 19 settembre 2023</w:t>
      </w:r>
    </w:p>
    <w:p>
      <w:pPr>
        <w:pStyle w:val="Heading2"/>
      </w:pPr>
      <w:r>
        <w:t>Regeste</w:t>
      </w:r>
    </w:p>
    <w:p>
      <w:r>
        <w:t>II. Beschwerdeabteilung%z%Aufsichtsbehörde über Schuldbetreibung und Konkurs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A.________ AG (nachfolgend: Beschwerdeführerin) ist eine Aktiengesellschaft mit Sitz in Zug. Gemäss Eintrag im Handelsregister des Kantons Zug befindet sich ihr Domizil bei der B.________ AG, ________, Zug. Einziges Mitglied des Verwaltungsrates ist C.________, Riehen.</w:t>
      </w:r>
    </w:p>
    <w:p>
      <w:r>
        <w:rPr>
          <w:b/>
        </w:rPr>
        <w:t>E. 2</w:t>
      </w:r>
    </w:p>
    <w:p>
      <w:r>
        <w:t>Im August 2022 leitete die D.________ AG beim Betreibungsamt Zug gegen die Beschwerdeführerin die Betreibung für CHF 41'378.90 nebst Zins ein. Gegen den ihr am 11. August 2022 zugestellten Zahlungsbefehl erhob die Beschwerdeführerin Rechtsvorschlag (act. 3/4). Nach dessen Beseitigung stellte die D.________ AG am 22. August 2023 das Fortsetzungsbegehren (act. 3/1).</w:t>
      </w:r>
    </w:p>
    <w:p>
      <w:r>
        <w:rPr>
          <w:b/>
        </w:rPr>
        <w:t>E. 3</w:t>
      </w:r>
    </w:p>
    <w:p>
      <w:r>
        <w:t>Am 24. August 2023 stellte das Betreibungsamt Zug der Beschwerdeführerin die Konkurs- androhung zu. Bei der Zustellbescheinigung wurde als Empfängerin "E.________, Ang. B.________" vermerkt (act. 3/8).</w:t>
      </w:r>
    </w:p>
    <w:p>
      <w:r>
        <w:rPr>
          <w:b/>
        </w:rPr>
        <w:t>E. 4</w:t>
      </w:r>
    </w:p>
    <w:p>
      <w:r>
        <w:t>Gegen diese Konkursandrohung reichte die Beschwerdeführerin mit Eingabe vom 1. Sep- tember 2023 (Datum Postaufgabe) bei der II. Beschwerdeabteilung des Obergerichts Zug als Aufsichtsbehörde über Schuldbetreibung und Konkurs Beschwerde ein und beantragte, die Konkursandrohung sei als unzulässig zu erklären.</w:t>
      </w:r>
    </w:p>
    <w:p>
      <w:r>
        <w:rPr>
          <w:b/>
        </w:rPr>
        <w:t>E. 5</w:t>
      </w:r>
    </w:p>
    <w:p>
      <w:r>
        <w:t>Die Akten des Betreibungsamtes wurden beigezogen. Vernehmlassungen wurden nicht ein- geholt.</w:t>
      </w:r>
    </w:p>
    <w:p>
      <w:r>
        <w:rPr>
          <w:b/>
        </w:rPr>
        <w:t>E. 6</w:t>
      </w:r>
    </w:p>
    <w:p>
      <w:r>
        <w:t>Die Beschwerdeführerin macht geltend, die Zustellung der Konkursandrohung an die B.________ AG sei nicht gültig erfolgt. Die Zustellung von Betreibungsurkunden an einen vertraglich bestellten Vertreter sei nur möglich, wenn der Vertreter ausdrücklich zur Entge- gennahme von Betreibungsakten ermächtigt oder ihm eine Generalvollmacht ausgestellt worden sei und wenn die Bevollmächtigung dem Betreibungsamt vorgängig mitgeteilt worden sei. Die B.________ AG als Domizilhalterin der Beschwerdeführerin sei jedoch nicht aus- drücklich zur Entgegennahme von Betreibungsakten ermächtigt worden.</w:t>
      </w:r>
    </w:p>
    <w:p>
      <w:r>
        <w:rPr>
          <w:b/>
        </w:rPr>
        <w:t>E. 7</w:t>
      </w:r>
    </w:p>
    <w:p>
      <w:r>
        <w:t>Diese Rechtsauffassung ist offenkundig verfehlt.</w:t>
      </w:r>
    </w:p>
    <w:p>
      <w:r>
        <w:rPr>
          <w:b/>
        </w:rPr>
        <w:t>E. 7.1</w:t>
      </w:r>
    </w:p>
    <w:p>
      <w:r>
        <w:t>In einer gegen eine Aktiengesellschaft gerichteten Betreibung erfolgt die Zustellung des Zah- lungsbefehls grundsätzlich an ein Mitglied der Verwaltung, an einen Direktor oder an einen Prokuristen (Art. 65 Abs. 1 Ziff. 2 SchKG). Hat die Aktiengesellschaft am Ort ihres statutari- schen Sitzes keine Geschäftsbüros, so muss sie im Handelsregister eintragen, bei wem sich an diesem Orte das Domizil befindet (Art. 43 Abs. 1 HRegV). In diesem Falle hat die Zustel- lung von Betreibungsurkunden ausschliesslich an den eingetragenen Domizilhalter zu erfol- gen, handelt es sich bei diesem doch gleichsam um die Empfangsstelle der juristischen Per- son. Demzufolge ist eine Zustellung an einen Verwaltungsrat oder einen Prokuristen der ju- ristischen Person nicht mehr zulässig (vgl. BGE 119 III 57; Urteil des Bundesgerichts 5A_805/2012 vom 11. Februar 2013 E. 6.4; GVP 2010 S. 271 f.).</w:t>
      </w:r>
    </w:p>
    <w:p>
      <w:r>
        <w:t>Seite 3/3</w:t>
      </w:r>
    </w:p>
    <w:p>
      <w:r>
        <w:rPr>
          <w:b/>
        </w:rPr>
        <w:t>E. 7.2</w:t>
      </w:r>
    </w:p>
    <w:p>
      <w:r>
        <w:t>Im vorliegenden Fall hat das Betreibungsamt die Konkursandrohung zu Recht der Angestell- te der Domizilhalterin ausgehändigt. Ob die Domizilhalterin im internen Verhältnis von der Beschwerdeführerin zur Entgegennahme von Betreibungsurkunden bevollmächtigt war, brauchte das Betreibungsamt nicht zu prüfen. Die Zustellung ist somit gültig erfolgt.</w:t>
      </w:r>
    </w:p>
    <w:p>
      <w:r>
        <w:rPr>
          <w:b/>
        </w:rPr>
        <w:t>E. 8</w:t>
      </w:r>
    </w:p>
    <w:p>
      <w:r>
        <w:t>Nach dem Gesagten erweist sich die Beschwerde als unbegründet und ist demnach abzu- weisen. Das Beschwerdeverfahren vor der Aufsichtsbehörde über Schuldbetreibung und Konkurs ist grundsätzlich kostenlos (Art. 20a Abs. 2 Ziff. 5 SchKG i.V.m. Art. 61 Abs. 2 lit. a GebV SchKG). Urteilsspruch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